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A438" w14:textId="0BCE4FF2" w:rsidR="000F18D4" w:rsidRPr="004465C3" w:rsidRDefault="004465C3">
      <w:pPr>
        <w:spacing w:line="252" w:lineRule="auto"/>
        <w:jc w:val="both"/>
        <w:rPr>
          <w:rFonts w:ascii="Aptos" w:eastAsia="Aptos" w:hAnsi="Aptos" w:cs="Aptos"/>
          <w:sz w:val="20"/>
          <w:szCs w:val="20"/>
        </w:rPr>
      </w:pPr>
      <w:r w:rsidRPr="004465C3">
        <w:rPr>
          <w:rFonts w:ascii="Aptos" w:hAnsi="Aptos"/>
          <w:noProof/>
        </w:rPr>
        <w:drawing>
          <wp:anchor distT="114300" distB="114300" distL="114300" distR="114300" simplePos="0" relativeHeight="251658240" behindDoc="0" locked="0" layoutInCell="1" hidden="0" allowOverlap="1" wp14:anchorId="1B93A45B" wp14:editId="692E97F2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616710" cy="377825"/>
            <wp:effectExtent l="0" t="0" r="0" b="3175"/>
            <wp:wrapSquare wrapText="bothSides" distT="114300" distB="11430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37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3A43A" w14:textId="77777777" w:rsidR="000F18D4" w:rsidRDefault="000F18D4">
      <w:pPr>
        <w:jc w:val="both"/>
        <w:rPr>
          <w:rFonts w:ascii="Aptos" w:eastAsia="Aptos" w:hAnsi="Aptos" w:cs="Aptos"/>
          <w:sz w:val="20"/>
          <w:szCs w:val="20"/>
        </w:rPr>
      </w:pPr>
    </w:p>
    <w:p w14:paraId="6BED5B23" w14:textId="3A1317F5" w:rsidR="002E0599" w:rsidRPr="004465C3" w:rsidRDefault="002E0599">
      <w:pPr>
        <w:jc w:val="both"/>
        <w:rPr>
          <w:rFonts w:ascii="Aptos" w:eastAsia="Aptos" w:hAnsi="Aptos" w:cs="Aptos"/>
          <w:sz w:val="20"/>
          <w:szCs w:val="20"/>
        </w:rPr>
      </w:pPr>
      <w:r>
        <w:rPr>
          <w:rFonts w:ascii="Aptos" w:eastAsia="Aptos" w:hAnsi="Aptos" w:cs="Aptos"/>
          <w:sz w:val="20"/>
          <w:szCs w:val="20"/>
        </w:rPr>
        <w:t>ČLÁNEK</w:t>
      </w:r>
    </w:p>
    <w:p w14:paraId="0A87467A" w14:textId="55F9823F" w:rsidR="002E0599" w:rsidRPr="002E0599" w:rsidRDefault="002E0599" w:rsidP="002E0599">
      <w:pPr>
        <w:jc w:val="both"/>
        <w:rPr>
          <w:rFonts w:ascii="Aptos" w:hAnsi="Aptos"/>
          <w:b/>
          <w:sz w:val="24"/>
          <w:szCs w:val="24"/>
        </w:rPr>
      </w:pPr>
      <w:r w:rsidRPr="00DF104A">
        <w:rPr>
          <w:rFonts w:ascii="Aptos" w:hAnsi="Aptos"/>
          <w:b/>
          <w:sz w:val="24"/>
          <w:szCs w:val="24"/>
        </w:rPr>
        <w:t xml:space="preserve">Česko se </w:t>
      </w:r>
      <w:proofErr w:type="gramStart"/>
      <w:r w:rsidRPr="00DF104A">
        <w:rPr>
          <w:rFonts w:ascii="Aptos" w:hAnsi="Aptos"/>
          <w:b/>
          <w:sz w:val="24"/>
          <w:szCs w:val="24"/>
        </w:rPr>
        <w:t>těší</w:t>
      </w:r>
      <w:proofErr w:type="gramEnd"/>
      <w:r w:rsidRPr="00DF104A">
        <w:rPr>
          <w:rFonts w:ascii="Aptos" w:hAnsi="Aptos"/>
          <w:b/>
          <w:sz w:val="24"/>
          <w:szCs w:val="24"/>
        </w:rPr>
        <w:t xml:space="preserve"> 9. nejvyšší solidaritě a důvěře ve společnosti v EU, přispívá k tomu ochota Čechů pomáhat</w:t>
      </w:r>
    </w:p>
    <w:p w14:paraId="69DD9C70" w14:textId="1B45A9CC" w:rsidR="002E0599" w:rsidRPr="002E0599" w:rsidRDefault="002E0599" w:rsidP="002E0599">
      <w:pPr>
        <w:jc w:val="both"/>
        <w:rPr>
          <w:rFonts w:ascii="Aptos" w:hAnsi="Aptos"/>
          <w:b/>
        </w:rPr>
      </w:pPr>
      <w:r w:rsidRPr="00DF104A">
        <w:rPr>
          <w:rFonts w:ascii="Aptos" w:hAnsi="Aptos"/>
          <w:b/>
        </w:rPr>
        <w:t>V nové analýze Indexu prosperity a finančního zdraví se Česká republika umístila na 9. místě v EU z</w:t>
      </w:r>
      <w:r w:rsidR="00092CED">
        <w:rPr>
          <w:rFonts w:ascii="Aptos" w:hAnsi="Aptos"/>
          <w:b/>
        </w:rPr>
        <w:t> </w:t>
      </w:r>
      <w:r w:rsidRPr="00DF104A">
        <w:rPr>
          <w:rFonts w:ascii="Aptos" w:hAnsi="Aptos"/>
          <w:b/>
        </w:rPr>
        <w:t>hlediska společenské solidarity a důvěry. K relativně dobrému výsledku přispěla ochota Čechů pomáhat. Neznámému člověku během posledního měsíce totiž pomohlo 63</w:t>
      </w:r>
      <w:r>
        <w:rPr>
          <w:rFonts w:ascii="Aptos" w:hAnsi="Aptos"/>
          <w:b/>
        </w:rPr>
        <w:t> </w:t>
      </w:r>
      <w:r w:rsidRPr="00DF104A">
        <w:rPr>
          <w:rFonts w:ascii="Aptos" w:hAnsi="Aptos"/>
          <w:b/>
        </w:rPr>
        <w:t xml:space="preserve">% z nich. Lidé se navíc mohou často spolehnout i na podporu blízkých, v případě nouze se totiž má na koho obrátit 9 z 10 Čechů, a to navzdory tomu, že během posledních 4 let podíl těchto lidí klesá a vrací se na </w:t>
      </w:r>
      <w:proofErr w:type="spellStart"/>
      <w:r w:rsidRPr="00DF104A">
        <w:rPr>
          <w:rFonts w:ascii="Aptos" w:hAnsi="Aptos"/>
          <w:b/>
        </w:rPr>
        <w:t>předcovidové</w:t>
      </w:r>
      <w:proofErr w:type="spellEnd"/>
      <w:r w:rsidRPr="00DF104A">
        <w:rPr>
          <w:rFonts w:ascii="Aptos" w:hAnsi="Aptos"/>
          <w:b/>
        </w:rPr>
        <w:t xml:space="preserve"> hodnoty. Integritu české společnosti naopak snižuje dlouhodobě nízká důvěra ve vládu a problém korupce</w:t>
      </w:r>
      <w:r w:rsidR="001A4527">
        <w:rPr>
          <w:rFonts w:ascii="Aptos" w:hAnsi="Aptos"/>
          <w:b/>
        </w:rPr>
        <w:t>. V</w:t>
      </w:r>
      <w:r w:rsidRPr="00DF104A">
        <w:rPr>
          <w:rFonts w:ascii="Aptos" w:hAnsi="Aptos"/>
          <w:b/>
        </w:rPr>
        <w:t>e zvládání korupce se</w:t>
      </w:r>
      <w:r w:rsidR="005A725D">
        <w:rPr>
          <w:rFonts w:ascii="Aptos" w:hAnsi="Aptos"/>
          <w:b/>
        </w:rPr>
        <w:t> </w:t>
      </w:r>
      <w:r w:rsidRPr="00DF104A">
        <w:rPr>
          <w:rFonts w:ascii="Aptos" w:hAnsi="Aptos"/>
          <w:b/>
        </w:rPr>
        <w:t>Česko v rámci evropské sedmadvacítky umístilo na 16. příčce.</w:t>
      </w:r>
    </w:p>
    <w:p w14:paraId="7BEE24C4" w14:textId="2A955A9C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Solidarita a důvěra české společnosti je 9. nejvyšší v EU, vyplývá to z aktuální analýzy Indexu prosperity a finanční zdraví. Podobného výsledku přitom dosáhlo Česko i v uplynulých letech. Obecně lze nalézt vyšší společenskou integritu v severní a střední Evropě s výjimkou Polska, Maďarska a Slovenska, horšího výsledku pak dosáhly naopak balkánské a východoevropské země.</w:t>
      </w:r>
    </w:p>
    <w:p w14:paraId="7A055A87" w14:textId="77777777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[</w:t>
      </w:r>
      <w:hyperlink r:id="rId8">
        <w:r w:rsidRPr="00DF104A">
          <w:rPr>
            <w:rFonts w:ascii="Aptos" w:hAnsi="Aptos"/>
            <w:color w:val="1155CC"/>
            <w:u w:val="single"/>
          </w:rPr>
          <w:t>Infografika 1: Mapa</w:t>
        </w:r>
      </w:hyperlink>
      <w:r w:rsidRPr="00DF104A">
        <w:rPr>
          <w:rFonts w:ascii="Aptos" w:hAnsi="Aptos"/>
        </w:rPr>
        <w:t>]</w:t>
      </w:r>
    </w:p>
    <w:p w14:paraId="3A6ED977" w14:textId="28B39C73" w:rsidR="002E0599" w:rsidRPr="00DF104A" w:rsidRDefault="00ED72FE" w:rsidP="00ED72FE">
      <w:pPr>
        <w:jc w:val="center"/>
        <w:rPr>
          <w:rFonts w:ascii="Aptos" w:hAnsi="Aptos"/>
        </w:rPr>
      </w:pPr>
      <w:r w:rsidRPr="00ED72FE">
        <w:rPr>
          <w:rFonts w:ascii="Aptos" w:hAnsi="Aptos"/>
          <w:noProof/>
        </w:rPr>
        <w:drawing>
          <wp:inline distT="0" distB="0" distL="0" distR="0" wp14:anchorId="0D85B9FA" wp14:editId="3B881A65">
            <wp:extent cx="5952344" cy="2882900"/>
            <wp:effectExtent l="12700" t="12700" r="17145" b="12700"/>
            <wp:docPr id="384392336" name="Obrázek 1" descr="Obsah obrázku text, map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92336" name="Obrázek 1" descr="Obsah obrázku text, mapa, snímek obrazovky&#10;&#10;Popis byl vytvořen automaticky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734" cy="2887448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997DC6" w14:textId="77777777" w:rsidR="002E0599" w:rsidRPr="00DF104A" w:rsidRDefault="002E0599" w:rsidP="002E0599">
      <w:pPr>
        <w:jc w:val="both"/>
        <w:rPr>
          <w:rFonts w:ascii="Aptos" w:hAnsi="Aptos"/>
          <w:b/>
        </w:rPr>
      </w:pPr>
      <w:r w:rsidRPr="00DF104A">
        <w:rPr>
          <w:rFonts w:ascii="Aptos" w:hAnsi="Aptos"/>
          <w:b/>
        </w:rPr>
        <w:t>Češi mají méně blízkých, které mohou požádat o pomoc, nebojí se ale pomoct neznámému</w:t>
      </w:r>
    </w:p>
    <w:p w14:paraId="2A31CA31" w14:textId="13CDAD70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Ačkoli většina lidí má někoho blízkého, na koho se může obrátit v případě nouze, v posledních letech přibývá těch, kteří musí spoléhat jen na sebe. </w:t>
      </w:r>
      <w:r w:rsidRPr="00DF104A">
        <w:rPr>
          <w:rFonts w:ascii="Aptos" w:hAnsi="Aptos"/>
          <w:i/>
        </w:rPr>
        <w:t xml:space="preserve">„Zatímco v roce 2020 mělo 96,4 % Čechů na koho se obrátit, každý následující rok se podíl těchto lidí snižoval. V roce 2023 jich bylo už jen </w:t>
      </w:r>
      <w:hyperlink r:id="rId10" w:anchor="ranking-of-happiness-2019-2021">
        <w:r w:rsidRPr="00DF104A">
          <w:rPr>
            <w:rFonts w:ascii="Aptos" w:hAnsi="Aptos"/>
            <w:i/>
            <w:color w:val="1155CC"/>
            <w:u w:val="single"/>
          </w:rPr>
          <w:t>92,7 %</w:t>
        </w:r>
      </w:hyperlink>
      <w:r w:rsidRPr="00DF104A">
        <w:rPr>
          <w:rFonts w:ascii="Aptos" w:hAnsi="Aptos"/>
          <w:i/>
        </w:rPr>
        <w:t>,”</w:t>
      </w:r>
      <w:r w:rsidRPr="00DF104A">
        <w:rPr>
          <w:rFonts w:ascii="Aptos" w:hAnsi="Aptos"/>
        </w:rPr>
        <w:t xml:space="preserve"> vysvětluje Milan Mařík z projektu Evropa v datech. Z dlouhodobého hlediska se ale nemusí jednat ani tak o zhoršení, jako spíše o návrat k</w:t>
      </w:r>
      <w:r w:rsidR="00BE7758">
        <w:rPr>
          <w:rFonts w:ascii="Aptos" w:hAnsi="Aptos"/>
        </w:rPr>
        <w:t> </w:t>
      </w:r>
      <w:r w:rsidRPr="00DF104A">
        <w:rPr>
          <w:rFonts w:ascii="Aptos" w:hAnsi="Aptos"/>
        </w:rPr>
        <w:t>„českému standardu”.</w:t>
      </w:r>
      <w:r w:rsidR="00CD4ACA">
        <w:rPr>
          <w:rFonts w:ascii="Aptos" w:hAnsi="Aptos"/>
        </w:rPr>
        <w:t xml:space="preserve"> </w:t>
      </w:r>
      <w:r w:rsidRPr="00DF104A">
        <w:rPr>
          <w:rFonts w:ascii="Aptos" w:hAnsi="Aptos"/>
          <w:i/>
        </w:rPr>
        <w:t>„Je pravdou, že rok 2020 byl atypický kvůli covidu a že se současné hodnoty vrátily na podobnou úroveň, na jaké byly před příchodem covid-19,”</w:t>
      </w:r>
      <w:r w:rsidRPr="00DF104A">
        <w:rPr>
          <w:rFonts w:ascii="Aptos" w:hAnsi="Aptos"/>
        </w:rPr>
        <w:t xml:space="preserve"> dodává Mařík.</w:t>
      </w:r>
    </w:p>
    <w:p w14:paraId="0945B467" w14:textId="5B65C9D2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Tomu odpovídají i data Indexu prosperity. Zatímco podle indexu z roku 2022 mělo Česko v EU zcela nejvyšší podíl těch, kteří se mají na koho obrátit, podle toho aktuálního se Česko propadlo až na 6. pozici.</w:t>
      </w:r>
    </w:p>
    <w:p w14:paraId="29AA8108" w14:textId="0FCDAB39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Češi se ale současně neostýchají pomáhat neznámým lidem. Jak vyplývá z dat </w:t>
      </w:r>
      <w:proofErr w:type="spellStart"/>
      <w:r w:rsidRPr="00DF104A">
        <w:rPr>
          <w:rFonts w:ascii="Aptos" w:hAnsi="Aptos"/>
        </w:rPr>
        <w:t>World</w:t>
      </w:r>
      <w:proofErr w:type="spellEnd"/>
      <w:r w:rsidRPr="00DF104A">
        <w:rPr>
          <w:rFonts w:ascii="Aptos" w:hAnsi="Aptos"/>
        </w:rPr>
        <w:t xml:space="preserve"> </w:t>
      </w:r>
      <w:proofErr w:type="spellStart"/>
      <w:r w:rsidRPr="00DF104A">
        <w:rPr>
          <w:rFonts w:ascii="Aptos" w:hAnsi="Aptos"/>
        </w:rPr>
        <w:t>Giving</w:t>
      </w:r>
      <w:proofErr w:type="spellEnd"/>
      <w:r w:rsidRPr="00DF104A">
        <w:rPr>
          <w:rFonts w:ascii="Aptos" w:hAnsi="Aptos"/>
        </w:rPr>
        <w:t xml:space="preserve"> Index 2023, neznámému pomohlo (v posledním měsíci před sběrem dat) </w:t>
      </w:r>
      <w:hyperlink r:id="rId11">
        <w:r w:rsidRPr="00DF104A">
          <w:rPr>
            <w:rFonts w:ascii="Aptos" w:hAnsi="Aptos"/>
            <w:color w:val="1155CC"/>
            <w:u w:val="single"/>
          </w:rPr>
          <w:t>63 % z nich</w:t>
        </w:r>
      </w:hyperlink>
      <w:r w:rsidRPr="00DF104A">
        <w:rPr>
          <w:rFonts w:ascii="Aptos" w:hAnsi="Aptos"/>
        </w:rPr>
        <w:t>, což tuzemsko řadí na 3. místo v rámci evropské sedmadvacítky. Pozitivní zprávou je, že se jedná o zlepšení o 8 příček oproti roku 2022.</w:t>
      </w:r>
    </w:p>
    <w:p w14:paraId="0D24D358" w14:textId="77777777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lastRenderedPageBreak/>
        <w:t>[</w:t>
      </w:r>
      <w:hyperlink r:id="rId12">
        <w:r w:rsidRPr="00DF104A">
          <w:rPr>
            <w:rFonts w:ascii="Aptos" w:hAnsi="Aptos"/>
            <w:color w:val="1155CC"/>
            <w:u w:val="single"/>
          </w:rPr>
          <w:t>Infografika 2: Rozpad</w:t>
        </w:r>
      </w:hyperlink>
      <w:r w:rsidRPr="00DF104A">
        <w:rPr>
          <w:rFonts w:ascii="Aptos" w:hAnsi="Aptos"/>
        </w:rPr>
        <w:t>]</w:t>
      </w:r>
    </w:p>
    <w:p w14:paraId="58CC9CBA" w14:textId="65AD3F70" w:rsidR="002E0599" w:rsidRPr="00DF104A" w:rsidRDefault="00ED72FE" w:rsidP="00ED72FE">
      <w:pPr>
        <w:jc w:val="center"/>
        <w:rPr>
          <w:rFonts w:ascii="Aptos" w:hAnsi="Aptos"/>
        </w:rPr>
      </w:pPr>
      <w:r w:rsidRPr="00ED72FE">
        <w:rPr>
          <w:rFonts w:ascii="Aptos" w:hAnsi="Aptos"/>
          <w:noProof/>
        </w:rPr>
        <w:drawing>
          <wp:inline distT="0" distB="0" distL="0" distR="0" wp14:anchorId="42678C45" wp14:editId="50799678">
            <wp:extent cx="6214110" cy="3009681"/>
            <wp:effectExtent l="12700" t="12700" r="8890" b="13335"/>
            <wp:docPr id="1827352624" name="Obrázek 1" descr="Obsah obrázku Barevnost, Vykreslený graf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352624" name="Obrázek 1" descr="Obsah obrázku Barevnost, Vykreslený graf, text, řada/pruh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24" cy="301642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0CE57B4" w14:textId="5836BBAB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Současně se Češi věnují i dobročinnosti, ačkoliv se většinou jedná o jednorázový a spontánní akt. </w:t>
      </w:r>
      <w:r w:rsidRPr="00DF104A">
        <w:rPr>
          <w:rFonts w:ascii="Aptos" w:hAnsi="Aptos"/>
          <w:i/>
        </w:rPr>
        <w:t>„Podle výzkumu Ipsos Asociace společenské odpovědnosti přispívají finančně čtyři z deseti Čechů. Češi ale chtějí vědět, na co přesně budou jejich peníze využity. Nejčastěji proto posílají své peníze konkrétním dětem, hendikepovaným, zvířatům</w:t>
      </w:r>
      <w:r w:rsidR="00AB1BB3">
        <w:rPr>
          <w:rFonts w:ascii="Aptos" w:hAnsi="Aptos"/>
          <w:i/>
        </w:rPr>
        <w:t xml:space="preserve">, </w:t>
      </w:r>
      <w:r w:rsidRPr="00DF104A">
        <w:rPr>
          <w:rFonts w:ascii="Aptos" w:hAnsi="Aptos"/>
          <w:i/>
        </w:rPr>
        <w:t>obětem katastrof</w:t>
      </w:r>
      <w:r w:rsidR="00AB1BB3">
        <w:rPr>
          <w:rFonts w:ascii="Aptos" w:hAnsi="Aptos"/>
          <w:i/>
        </w:rPr>
        <w:t xml:space="preserve"> a</w:t>
      </w:r>
      <w:r w:rsidRPr="00DF104A">
        <w:rPr>
          <w:rFonts w:ascii="Aptos" w:hAnsi="Aptos"/>
          <w:i/>
        </w:rPr>
        <w:t xml:space="preserve"> upřednostňují pomoc v rámci České republiky. Čtvrtina Čechů se pro dárcovství rozhoduje spontánně až impulsivně, jen 10 % lidí přispívá pravidelně. A jak Češi své peníze na dobročinné účely posílají? Nejvíce využívají dárcovské SMS – DMS – které letos oslaví 20 let existence. Za tu dobu přispěli Češi dle údajů Fóra dárců a Asociace provozovatelů mobilních sítí téměř miliardou korun. Kromě jednotlivců se na dobročinnosti v Česku zásadně podílejí i nadace a nadační fondy. Nejvíce z nich, a to se týká i</w:t>
      </w:r>
      <w:r w:rsidR="00531BC0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>Nadace České spořitelny, se dlouhodobě zaměřuje na oblast vzdělávání a výzkumu. Prioritou naší nadace je pak podpora rozvoje výuky založené na kompetencích, které povedou k samostatnému rozhodování a</w:t>
      </w:r>
      <w:r w:rsidR="00531BC0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>finančnímu zdraví dětí a mladých lidí,”</w:t>
      </w:r>
      <w:r w:rsidRPr="00DF104A">
        <w:rPr>
          <w:rFonts w:ascii="Aptos" w:hAnsi="Aptos"/>
        </w:rPr>
        <w:t xml:space="preserve"> vysvětluje Dana Brandenburg z Nadace České spořitelny.</w:t>
      </w:r>
    </w:p>
    <w:p w14:paraId="7707714C" w14:textId="77777777" w:rsidR="002E0599" w:rsidRPr="00DF104A" w:rsidRDefault="002E0599" w:rsidP="002E0599">
      <w:pPr>
        <w:jc w:val="both"/>
        <w:rPr>
          <w:rFonts w:ascii="Aptos" w:hAnsi="Aptos"/>
          <w:b/>
        </w:rPr>
      </w:pPr>
      <w:r w:rsidRPr="00DF104A">
        <w:rPr>
          <w:rFonts w:ascii="Aptos" w:hAnsi="Aptos"/>
          <w:b/>
        </w:rPr>
        <w:t>Dlouhodobá důvěryhodnost vlády je v Česku 16. nejvyšší v EU</w:t>
      </w:r>
    </w:p>
    <w:p w14:paraId="55579DCA" w14:textId="617F30A1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Česko si rovněž stojí relativně dobře v důvěryhodnosti soudnictví. Soudům </w:t>
      </w:r>
      <w:proofErr w:type="gramStart"/>
      <w:r w:rsidRPr="00DF104A">
        <w:rPr>
          <w:rFonts w:ascii="Aptos" w:hAnsi="Aptos"/>
        </w:rPr>
        <w:t>věří</w:t>
      </w:r>
      <w:proofErr w:type="gramEnd"/>
      <w:r w:rsidRPr="00DF104A">
        <w:rPr>
          <w:rFonts w:ascii="Aptos" w:hAnsi="Aptos"/>
        </w:rPr>
        <w:t xml:space="preserve"> </w:t>
      </w:r>
      <w:hyperlink r:id="rId14">
        <w:r w:rsidRPr="00DF104A">
          <w:rPr>
            <w:rFonts w:ascii="Aptos" w:hAnsi="Aptos"/>
            <w:color w:val="1155CC"/>
            <w:u w:val="single"/>
          </w:rPr>
          <w:t>65 % obyvatel</w:t>
        </w:r>
      </w:hyperlink>
      <w:r w:rsidRPr="00DF104A">
        <w:rPr>
          <w:rFonts w:ascii="Aptos" w:hAnsi="Aptos"/>
        </w:rPr>
        <w:t>, což odpovídá 11.</w:t>
      </w:r>
      <w:r w:rsidR="00531BC0">
        <w:rPr>
          <w:rFonts w:ascii="Aptos" w:hAnsi="Aptos"/>
        </w:rPr>
        <w:t> </w:t>
      </w:r>
      <w:r w:rsidRPr="00DF104A">
        <w:rPr>
          <w:rFonts w:ascii="Aptos" w:hAnsi="Aptos"/>
        </w:rPr>
        <w:t>nejvyššímu podílu v EU. Naopak skeptičtěji se staví ke své vládě, které podle Eurobarometru během posledních 10 let v průměru důvěřuje 29,1 % Čechů, tedy 16. nejvyšší podíl v EU.</w:t>
      </w:r>
    </w:p>
    <w:p w14:paraId="35AAD1C2" w14:textId="3EF37DC9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Pokud se nicméně podíváme na aktuálnější </w:t>
      </w:r>
      <w:hyperlink r:id="rId15">
        <w:r w:rsidRPr="00DF104A">
          <w:rPr>
            <w:rFonts w:ascii="Aptos" w:hAnsi="Aptos"/>
            <w:color w:val="1155CC"/>
            <w:u w:val="single"/>
          </w:rPr>
          <w:t>data</w:t>
        </w:r>
      </w:hyperlink>
      <w:r w:rsidRPr="00DF104A">
        <w:rPr>
          <w:rFonts w:ascii="Aptos" w:hAnsi="Aptos"/>
        </w:rPr>
        <w:t xml:space="preserve"> Centra pro výzkum veřejného mínění z letošního února, zjistíme, že současná důvěra ve vládu se pohybuje pod dlouhodobým průměrem. Vládě podle nich totiž důvěřuje 20 % obyvatel. Naopak podstatně vyšší důvěře se </w:t>
      </w:r>
      <w:proofErr w:type="gramStart"/>
      <w:r w:rsidRPr="00DF104A">
        <w:rPr>
          <w:rFonts w:ascii="Aptos" w:hAnsi="Aptos"/>
        </w:rPr>
        <w:t>těší</w:t>
      </w:r>
      <w:proofErr w:type="gramEnd"/>
      <w:r w:rsidRPr="00DF104A">
        <w:rPr>
          <w:rFonts w:ascii="Aptos" w:hAnsi="Aptos"/>
        </w:rPr>
        <w:t xml:space="preserve"> prezident (54 %), a zcela nejvyšší starostové obcí (66 %).</w:t>
      </w:r>
    </w:p>
    <w:p w14:paraId="5E03A9E9" w14:textId="40102751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Nejedná se nicméně o nejnižší důvěru vládě, kterou Češi pamatují. </w:t>
      </w:r>
      <w:r w:rsidRPr="00DF104A">
        <w:rPr>
          <w:rFonts w:ascii="Aptos" w:hAnsi="Aptos"/>
          <w:i/>
        </w:rPr>
        <w:t>„Současná důvěra vládě je relativně velmi nízká, i když historicky není zcela nejnižší. Když ale nepočítáme krátkodobé epizody spojené zpravidla s</w:t>
      </w:r>
      <w:r w:rsidR="001350DA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>bezprostředně kulminujícími vládními nebo koaličními krizemi, tak v podstatě pouze vláda Petra Nečase v</w:t>
      </w:r>
      <w:r w:rsidR="00C927F7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>letech 2012 a 2013 na tom byla ještě hůře než stávající vláda Petra Fialy,”</w:t>
      </w:r>
      <w:r w:rsidRPr="00DF104A">
        <w:rPr>
          <w:rFonts w:ascii="Aptos" w:hAnsi="Aptos"/>
        </w:rPr>
        <w:t xml:space="preserve"> vysvětluje Jan Červenka, analytik Centra pro výzkum veřejného mínění. Současný pokles důvěry započal již s příchodem covidu, na který navázala energetická krize a vysoká inflace. </w:t>
      </w:r>
      <w:r w:rsidRPr="00DF104A">
        <w:rPr>
          <w:rFonts w:ascii="Aptos" w:hAnsi="Aptos"/>
          <w:i/>
        </w:rPr>
        <w:t>„Tento trend stále pokračuje a veřejnost není příliš vstřícná ani k některým jiným bodům současné vládní agendy, jako například bylo zrušení loňské mimořádné valorizace penzí, nákup stíhaček nebo nákladná podpora Ukrajiny v konfliktu s Ruskem,”</w:t>
      </w:r>
      <w:r w:rsidRPr="00DF104A">
        <w:rPr>
          <w:rFonts w:ascii="Aptos" w:hAnsi="Aptos"/>
        </w:rPr>
        <w:t xml:space="preserve"> dodává Červenka.</w:t>
      </w:r>
    </w:p>
    <w:p w14:paraId="4D9A395E" w14:textId="77777777" w:rsidR="002E0599" w:rsidRPr="00DF104A" w:rsidRDefault="002E0599" w:rsidP="002E0599">
      <w:pPr>
        <w:jc w:val="both"/>
        <w:rPr>
          <w:rFonts w:ascii="Aptos" w:hAnsi="Aptos"/>
          <w:b/>
        </w:rPr>
      </w:pPr>
      <w:r w:rsidRPr="00DF104A">
        <w:rPr>
          <w:rFonts w:ascii="Aptos" w:hAnsi="Aptos"/>
          <w:b/>
        </w:rPr>
        <w:t>Česko v EU zaostává ve zvládání korupce</w:t>
      </w:r>
    </w:p>
    <w:p w14:paraId="46535C0E" w14:textId="57AB67F5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Indikátorem, ve kterém se Česku po nízké důvěře vládě </w:t>
      </w:r>
      <w:proofErr w:type="gramStart"/>
      <w:r w:rsidRPr="00DF104A">
        <w:rPr>
          <w:rFonts w:ascii="Aptos" w:hAnsi="Aptos"/>
        </w:rPr>
        <w:t>daří</w:t>
      </w:r>
      <w:proofErr w:type="gramEnd"/>
      <w:r w:rsidRPr="00DF104A">
        <w:rPr>
          <w:rFonts w:ascii="Aptos" w:hAnsi="Aptos"/>
        </w:rPr>
        <w:t xml:space="preserve"> v rámci pilíře solidarity ve společnosti nejhůř, je</w:t>
      </w:r>
      <w:r w:rsidR="00531BC0">
        <w:rPr>
          <w:rFonts w:ascii="Aptos" w:hAnsi="Aptos"/>
        </w:rPr>
        <w:t> </w:t>
      </w:r>
      <w:r w:rsidRPr="00DF104A">
        <w:rPr>
          <w:rFonts w:ascii="Aptos" w:hAnsi="Aptos"/>
        </w:rPr>
        <w:t xml:space="preserve">vnímání korupce. Tu dlouhodobě sleduje mezinárodní nezisková organizace </w:t>
      </w:r>
      <w:hyperlink r:id="rId16">
        <w:proofErr w:type="spellStart"/>
        <w:r w:rsidRPr="00DF104A">
          <w:rPr>
            <w:rFonts w:ascii="Aptos" w:hAnsi="Aptos"/>
            <w:color w:val="1155CC"/>
            <w:u w:val="single"/>
          </w:rPr>
          <w:t>Transparency</w:t>
        </w:r>
        <w:proofErr w:type="spellEnd"/>
        <w:r w:rsidRPr="00DF104A">
          <w:rPr>
            <w:rFonts w:ascii="Aptos" w:hAnsi="Aptos"/>
            <w:color w:val="1155CC"/>
            <w:u w:val="single"/>
          </w:rPr>
          <w:t xml:space="preserve"> International</w:t>
        </w:r>
      </w:hyperlink>
      <w:r w:rsidRPr="00DF104A">
        <w:rPr>
          <w:rFonts w:ascii="Aptos" w:hAnsi="Aptos"/>
        </w:rPr>
        <w:t xml:space="preserve"> </w:t>
      </w:r>
      <w:r w:rsidRPr="00DF104A">
        <w:rPr>
          <w:rFonts w:ascii="Aptos" w:hAnsi="Aptos"/>
        </w:rPr>
        <w:lastRenderedPageBreak/>
        <w:t>na</w:t>
      </w:r>
      <w:r w:rsidR="00531BC0">
        <w:rPr>
          <w:rFonts w:ascii="Aptos" w:hAnsi="Aptos"/>
        </w:rPr>
        <w:t> </w:t>
      </w:r>
      <w:r w:rsidRPr="00DF104A">
        <w:rPr>
          <w:rFonts w:ascii="Aptos" w:hAnsi="Aptos"/>
        </w:rPr>
        <w:t>základě různých indikátorů, přičemž se neopírá o ve veřejné mínění, ale o data Světové banky, názory výzkumníků a lidí, kteří v dané zemi participují na obchodě a byznysu. Ve vnímání korupce dosáhlo Česko 12.</w:t>
      </w:r>
      <w:r w:rsidR="002E0EC1">
        <w:rPr>
          <w:rFonts w:ascii="Aptos" w:hAnsi="Aptos"/>
        </w:rPr>
        <w:t> </w:t>
      </w:r>
      <w:r w:rsidRPr="00DF104A">
        <w:rPr>
          <w:rFonts w:ascii="Aptos" w:hAnsi="Aptos"/>
        </w:rPr>
        <w:t xml:space="preserve">nejhorší skóre v rámci EU, a to konkrétně 57 bodů ze 100, přičemž vyšší hodnota odpovídá menší korupci. </w:t>
      </w:r>
    </w:p>
    <w:p w14:paraId="0C936B2A" w14:textId="3D86C945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Podprůměrné skóre, kterým </w:t>
      </w:r>
      <w:proofErr w:type="spellStart"/>
      <w:r w:rsidRPr="00DF104A">
        <w:rPr>
          <w:rFonts w:ascii="Aptos" w:hAnsi="Aptos"/>
        </w:rPr>
        <w:t>Transparency</w:t>
      </w:r>
      <w:proofErr w:type="spellEnd"/>
      <w:r w:rsidRPr="00DF104A">
        <w:rPr>
          <w:rFonts w:ascii="Aptos" w:hAnsi="Aptos"/>
        </w:rPr>
        <w:t xml:space="preserve"> International Česko ohodnotilo, má zejména jeden důvod: tuzemským vládním představitelům i opozici se </w:t>
      </w:r>
      <w:proofErr w:type="gramStart"/>
      <w:r w:rsidRPr="00DF104A">
        <w:rPr>
          <w:rFonts w:ascii="Aptos" w:hAnsi="Aptos"/>
        </w:rPr>
        <w:t>nedaří</w:t>
      </w:r>
      <w:proofErr w:type="gramEnd"/>
      <w:r w:rsidRPr="00DF104A">
        <w:rPr>
          <w:rFonts w:ascii="Aptos" w:hAnsi="Aptos"/>
        </w:rPr>
        <w:t xml:space="preserve"> programově řešit korupci. </w:t>
      </w:r>
      <w:r w:rsidRPr="00DF104A">
        <w:rPr>
          <w:rFonts w:ascii="Aptos" w:hAnsi="Aptos"/>
          <w:i/>
        </w:rPr>
        <w:t>„Protikorupční legislativa je přijímána se zpožděním a až po urgencích či žalobách ze strany Evropské komise. Důležité dílčí novelizace se</w:t>
      </w:r>
      <w:r w:rsidR="001079AD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>buď nekonají, nebo se jedná jen o kosmetické úpravy bez komplexního a efektivního dopadu,”</w:t>
      </w:r>
      <w:r w:rsidRPr="00DF104A">
        <w:rPr>
          <w:rFonts w:ascii="Aptos" w:hAnsi="Aptos"/>
        </w:rPr>
        <w:t xml:space="preserve"> uvádí </w:t>
      </w:r>
      <w:proofErr w:type="spellStart"/>
      <w:r w:rsidRPr="00DF104A">
        <w:rPr>
          <w:rFonts w:ascii="Aptos" w:hAnsi="Aptos"/>
        </w:rPr>
        <w:t>Transparency</w:t>
      </w:r>
      <w:proofErr w:type="spellEnd"/>
      <w:r w:rsidRPr="00DF104A">
        <w:rPr>
          <w:rFonts w:ascii="Aptos" w:hAnsi="Aptos"/>
        </w:rPr>
        <w:t xml:space="preserve"> International ve svých materiálech.</w:t>
      </w:r>
    </w:p>
    <w:p w14:paraId="4C30F619" w14:textId="151E51C0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Indikátor vnímání korupce umožňuje i celosvětové srovnání, v němž Česko vloni obsadilo 41. pozici ze 180 sledovaných zemí. Podobného výsledku dosáhly Katar, Botswana a ostrovní stát Dominika. Ačkoli se nejedná o</w:t>
      </w:r>
      <w:r w:rsidR="00531BC0">
        <w:rPr>
          <w:rFonts w:ascii="Aptos" w:hAnsi="Aptos"/>
        </w:rPr>
        <w:t> </w:t>
      </w:r>
      <w:r w:rsidRPr="00DF104A">
        <w:rPr>
          <w:rFonts w:ascii="Aptos" w:hAnsi="Aptos"/>
        </w:rPr>
        <w:t xml:space="preserve">záviděníhodný výsledek, hůře se umístily i další evropské země, a to např. Itálie, Řecko, Slovensko či Maďarsko. Naopak třeba v Německu je situace stran vnímání korupce 9. nejlepší na světě, zcela nejlépe jsou pak na tom Dáni. </w:t>
      </w:r>
    </w:p>
    <w:p w14:paraId="6C09C88C" w14:textId="71E5ADB0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 xml:space="preserve">Podstatně pozitivněji pak Česko dopadlo v mezinárodním srovnání svobody tisku, v rámci EU se umístilo na 12. pozici a ve světovém srovnání na </w:t>
      </w:r>
      <w:hyperlink r:id="rId17">
        <w:r w:rsidRPr="00DF104A">
          <w:rPr>
            <w:rFonts w:ascii="Aptos" w:hAnsi="Aptos"/>
            <w:color w:val="1155CC"/>
            <w:u w:val="single"/>
          </w:rPr>
          <w:t>14. pozici</w:t>
        </w:r>
      </w:hyperlink>
      <w:r w:rsidRPr="00DF104A">
        <w:rPr>
          <w:rFonts w:ascii="Aptos" w:hAnsi="Aptos"/>
        </w:rPr>
        <w:t xml:space="preserve"> ze 180 sledovaných zemí. Navzdory relativně dobrému výsledku v</w:t>
      </w:r>
      <w:r w:rsidR="00D8339E">
        <w:rPr>
          <w:rFonts w:ascii="Aptos" w:hAnsi="Aptos"/>
        </w:rPr>
        <w:t> </w:t>
      </w:r>
      <w:r w:rsidRPr="00DF104A">
        <w:rPr>
          <w:rFonts w:ascii="Aptos" w:hAnsi="Aptos"/>
        </w:rPr>
        <w:t>rámci srovnání s ostatními zeměmi ale situace není ideální. Výzkumníci totiž upozorňují na koncentraci vlastnictví českých médií několika málo soukromými subjekty či „mediálními magnáty“ a na tlak, kterému čelí veřejnoprávní média.</w:t>
      </w:r>
    </w:p>
    <w:p w14:paraId="4E5F8B02" w14:textId="0D163F44" w:rsidR="002E0599" w:rsidRPr="00DF104A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Kromě úrovně svobody tisku jsme si polepšili také v hodnocení mediální gramotnosti, která je s vnímáním svobody tisku a měrou důvěry v něj spojena.</w:t>
      </w:r>
      <w:r w:rsidRPr="00DF104A">
        <w:rPr>
          <w:rFonts w:ascii="Aptos" w:hAnsi="Aptos"/>
          <w:i/>
        </w:rPr>
        <w:t xml:space="preserve"> „Podle Media </w:t>
      </w:r>
      <w:proofErr w:type="spellStart"/>
      <w:r w:rsidRPr="00DF104A">
        <w:rPr>
          <w:rFonts w:ascii="Aptos" w:hAnsi="Aptos"/>
          <w:i/>
        </w:rPr>
        <w:t>Literacy</w:t>
      </w:r>
      <w:proofErr w:type="spellEnd"/>
      <w:r w:rsidRPr="00DF104A">
        <w:rPr>
          <w:rFonts w:ascii="Aptos" w:hAnsi="Aptos"/>
          <w:i/>
        </w:rPr>
        <w:t xml:space="preserve"> Indexu jsme aktuálně ze všech hodnocených zemí na 15. místě, oproti předchozímu období jsme si tak polepšili o tři příčky, což nás řadí mezi největší performery. Pokud bychom hodnotili pouze státy EU, jsme v úrovni mediální gramotnosti na 11. místě. Stále však máme prostor ke zlepšení, žebříček mediální gramotnosti vedou severské státy, které jsou zároveň na špici ve</w:t>
      </w:r>
      <w:r w:rsidR="00DD3EFE">
        <w:rPr>
          <w:rFonts w:ascii="Aptos" w:hAnsi="Aptos"/>
          <w:i/>
        </w:rPr>
        <w:t> </w:t>
      </w:r>
      <w:r w:rsidRPr="00DF104A">
        <w:rPr>
          <w:rFonts w:ascii="Aptos" w:hAnsi="Aptos"/>
          <w:i/>
        </w:rPr>
        <w:t xml:space="preserve">svobodě médií i důvěře vládě,” říká </w:t>
      </w:r>
      <w:r w:rsidRPr="00DF104A">
        <w:rPr>
          <w:rFonts w:ascii="Aptos" w:hAnsi="Aptos"/>
        </w:rPr>
        <w:t xml:space="preserve">Tereza </w:t>
      </w:r>
      <w:proofErr w:type="spellStart"/>
      <w:r w:rsidRPr="00DF104A">
        <w:rPr>
          <w:rFonts w:ascii="Aptos" w:hAnsi="Aptos"/>
        </w:rPr>
        <w:t>Hrtúsová</w:t>
      </w:r>
      <w:proofErr w:type="spellEnd"/>
      <w:r w:rsidRPr="00DF104A">
        <w:rPr>
          <w:rFonts w:ascii="Aptos" w:hAnsi="Aptos"/>
        </w:rPr>
        <w:t xml:space="preserve"> analytička České spořitelny.</w:t>
      </w:r>
    </w:p>
    <w:p w14:paraId="4264B800" w14:textId="77777777" w:rsidR="002E0599" w:rsidRPr="00DF104A" w:rsidRDefault="002E0599" w:rsidP="002E0599">
      <w:pPr>
        <w:jc w:val="both"/>
        <w:rPr>
          <w:rFonts w:ascii="Aptos" w:hAnsi="Aptos"/>
        </w:rPr>
      </w:pPr>
    </w:p>
    <w:p w14:paraId="2CF39D89" w14:textId="77777777" w:rsidR="002E0599" w:rsidRDefault="002E0599" w:rsidP="002E0599">
      <w:pPr>
        <w:jc w:val="both"/>
        <w:rPr>
          <w:rFonts w:ascii="Aptos" w:hAnsi="Aptos"/>
        </w:rPr>
      </w:pPr>
      <w:r w:rsidRPr="00DF104A">
        <w:rPr>
          <w:rFonts w:ascii="Aptos" w:hAnsi="Aptos"/>
        </w:rPr>
        <w:t>[</w:t>
      </w:r>
      <w:hyperlink r:id="rId18">
        <w:r w:rsidRPr="00DF104A">
          <w:rPr>
            <w:rFonts w:ascii="Aptos" w:hAnsi="Aptos"/>
            <w:color w:val="1155CC"/>
            <w:u w:val="single"/>
          </w:rPr>
          <w:t>Infografika 3: Jednotlivé indikátory</w:t>
        </w:r>
      </w:hyperlink>
      <w:r w:rsidRPr="00DF104A">
        <w:rPr>
          <w:rFonts w:ascii="Aptos" w:hAnsi="Aptos"/>
        </w:rPr>
        <w:t>]</w:t>
      </w:r>
    </w:p>
    <w:p w14:paraId="1E09C9A2" w14:textId="43AEE9F3" w:rsidR="002E0599" w:rsidRDefault="00D026A7" w:rsidP="00EA5F86">
      <w:pPr>
        <w:jc w:val="center"/>
        <w:rPr>
          <w:rFonts w:ascii="Aptos" w:hAnsi="Aptos"/>
        </w:rPr>
      </w:pPr>
      <w:r w:rsidRPr="00D026A7">
        <w:rPr>
          <w:rFonts w:ascii="Aptos" w:hAnsi="Aptos"/>
          <w:noProof/>
        </w:rPr>
        <w:drawing>
          <wp:inline distT="0" distB="0" distL="0" distR="0" wp14:anchorId="065E708D" wp14:editId="2EAA25D1">
            <wp:extent cx="6172200" cy="2989383"/>
            <wp:effectExtent l="12700" t="12700" r="12700" b="8255"/>
            <wp:docPr id="164105741" name="Obrázek 1" descr="Obsah obrázku text, Vykreslený graf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05741" name="Obrázek 1" descr="Obsah obrázku text, Vykreslený graf, řada/pruh, diagram&#10;&#10;Popis byl vytvořen automaticky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0056" cy="2998031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7D402C" w14:textId="77777777" w:rsidR="00EA5F86" w:rsidRDefault="00EA5F86" w:rsidP="00EA5F86">
      <w:pPr>
        <w:jc w:val="center"/>
        <w:rPr>
          <w:rFonts w:ascii="Aptos" w:hAnsi="Aptos"/>
        </w:rPr>
      </w:pPr>
    </w:p>
    <w:p w14:paraId="1B2E8890" w14:textId="77777777" w:rsidR="00EA5F86" w:rsidRDefault="00EA5F86" w:rsidP="00EA5F86">
      <w:pPr>
        <w:jc w:val="center"/>
        <w:rPr>
          <w:rFonts w:ascii="Aptos" w:hAnsi="Aptos"/>
        </w:rPr>
      </w:pPr>
    </w:p>
    <w:p w14:paraId="38055F73" w14:textId="77777777" w:rsidR="00EA5F86" w:rsidRPr="00EA5F86" w:rsidRDefault="00EA5F86" w:rsidP="00EA5F86">
      <w:pPr>
        <w:jc w:val="center"/>
        <w:rPr>
          <w:rFonts w:ascii="Aptos" w:hAnsi="Aptos"/>
        </w:rPr>
      </w:pPr>
    </w:p>
    <w:p w14:paraId="1B93A455" w14:textId="706B4AEC" w:rsidR="000F18D4" w:rsidRPr="004465C3" w:rsidRDefault="004465C3">
      <w:pPr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</w:rPr>
        <w:lastRenderedPageBreak/>
        <w:t xml:space="preserve">Více o Indexu prosperity </w:t>
      </w:r>
      <w:r w:rsidR="00EA5F86">
        <w:rPr>
          <w:rFonts w:ascii="Aptos" w:eastAsia="Aptos" w:hAnsi="Aptos" w:cs="Aptos"/>
        </w:rPr>
        <w:t xml:space="preserve">a finančního zdraví </w:t>
      </w:r>
      <w:r w:rsidRPr="004465C3">
        <w:rPr>
          <w:rFonts w:ascii="Aptos" w:eastAsia="Aptos" w:hAnsi="Aptos" w:cs="Aptos"/>
        </w:rPr>
        <w:t xml:space="preserve">na </w:t>
      </w:r>
      <w:hyperlink r:id="rId20">
        <w:r w:rsidRPr="004465C3">
          <w:rPr>
            <w:rFonts w:ascii="Aptos" w:eastAsia="Aptos" w:hAnsi="Aptos" w:cs="Aptos"/>
            <w:color w:val="1155CC"/>
            <w:u w:val="single"/>
          </w:rPr>
          <w:t>Indexprosperity.cz</w:t>
        </w:r>
      </w:hyperlink>
      <w:r w:rsidRPr="004465C3">
        <w:rPr>
          <w:rFonts w:ascii="Aptos" w:eastAsia="Aptos" w:hAnsi="Aptos" w:cs="Aptos"/>
        </w:rPr>
        <w:t>.</w:t>
      </w:r>
    </w:p>
    <w:p w14:paraId="1B93A456" w14:textId="77777777" w:rsidR="000F18D4" w:rsidRPr="004465C3" w:rsidRDefault="000F18D4">
      <w:pPr>
        <w:spacing w:after="0"/>
        <w:jc w:val="both"/>
        <w:rPr>
          <w:rFonts w:ascii="Aptos" w:eastAsia="Aptos" w:hAnsi="Aptos" w:cs="Aptos"/>
          <w:b/>
        </w:rPr>
      </w:pPr>
    </w:p>
    <w:p w14:paraId="1B93A457" w14:textId="77777777" w:rsidR="000F18D4" w:rsidRPr="004465C3" w:rsidRDefault="004465C3">
      <w:pPr>
        <w:spacing w:after="0"/>
        <w:jc w:val="both"/>
        <w:rPr>
          <w:rFonts w:ascii="Aptos" w:eastAsia="Aptos" w:hAnsi="Aptos" w:cs="Aptos"/>
          <w:b/>
        </w:rPr>
      </w:pPr>
      <w:r w:rsidRPr="004465C3">
        <w:rPr>
          <w:rFonts w:ascii="Aptos" w:eastAsia="Aptos" w:hAnsi="Aptos" w:cs="Aptos"/>
          <w:b/>
        </w:rPr>
        <w:t>Kontakt pro média:</w:t>
      </w:r>
    </w:p>
    <w:p w14:paraId="1B93A458" w14:textId="77777777" w:rsidR="000F18D4" w:rsidRPr="004465C3" w:rsidRDefault="004465C3">
      <w:pPr>
        <w:spacing w:after="0"/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</w:rPr>
        <w:t>Adéla Veselá</w:t>
      </w:r>
    </w:p>
    <w:p w14:paraId="1B93A459" w14:textId="77777777" w:rsidR="000F18D4" w:rsidRPr="004465C3" w:rsidRDefault="004465C3">
      <w:pPr>
        <w:spacing w:after="0"/>
        <w:jc w:val="both"/>
        <w:rPr>
          <w:rFonts w:ascii="Aptos" w:eastAsia="Aptos" w:hAnsi="Aptos" w:cs="Aptos"/>
        </w:rPr>
      </w:pPr>
      <w:r w:rsidRPr="004465C3">
        <w:rPr>
          <w:rFonts w:ascii="Aptos" w:eastAsia="Aptos" w:hAnsi="Aptos" w:cs="Aptos"/>
          <w:color w:val="0563C1"/>
          <w:u w:val="single"/>
        </w:rPr>
        <w:t>adela.vesela@dfmg.cz</w:t>
      </w:r>
    </w:p>
    <w:p w14:paraId="1B93A45A" w14:textId="0B072056" w:rsidR="000F18D4" w:rsidRPr="004465C3" w:rsidRDefault="00B67DAB">
      <w:pPr>
        <w:spacing w:after="0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Tel.</w:t>
      </w:r>
      <w:r w:rsidR="004465C3" w:rsidRPr="004465C3">
        <w:rPr>
          <w:rFonts w:ascii="Aptos" w:eastAsia="Aptos" w:hAnsi="Aptos" w:cs="Aptos"/>
        </w:rPr>
        <w:t xml:space="preserve">: </w:t>
      </w:r>
      <w:r>
        <w:rPr>
          <w:rFonts w:ascii="Aptos" w:eastAsia="Aptos" w:hAnsi="Aptos" w:cs="Aptos"/>
        </w:rPr>
        <w:t xml:space="preserve">+420 </w:t>
      </w:r>
      <w:r w:rsidR="004465C3" w:rsidRPr="004465C3">
        <w:rPr>
          <w:rFonts w:ascii="Aptos" w:eastAsia="Aptos" w:hAnsi="Aptos" w:cs="Aptos"/>
        </w:rPr>
        <w:t>722 193 819</w:t>
      </w:r>
    </w:p>
    <w:sectPr w:rsidR="000F18D4" w:rsidRPr="004465C3">
      <w:footerReference w:type="default" r:id="rId2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6A3D" w14:textId="77777777" w:rsidR="002E152D" w:rsidRDefault="002E152D">
      <w:pPr>
        <w:spacing w:after="0" w:line="240" w:lineRule="auto"/>
      </w:pPr>
      <w:r>
        <w:separator/>
      </w:r>
    </w:p>
  </w:endnote>
  <w:endnote w:type="continuationSeparator" w:id="0">
    <w:p w14:paraId="2CFC4DB9" w14:textId="77777777" w:rsidR="002E152D" w:rsidRDefault="002E1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A45E" w14:textId="77777777" w:rsidR="000F18D4" w:rsidRDefault="004465C3">
    <w:r>
      <w:rPr>
        <w:noProof/>
      </w:rPr>
      <w:drawing>
        <wp:anchor distT="0" distB="0" distL="0" distR="0" simplePos="0" relativeHeight="251659264" behindDoc="0" locked="0" layoutInCell="1" hidden="0" allowOverlap="1" wp14:anchorId="1B93A461" wp14:editId="102D5C47">
          <wp:simplePos x="0" y="0"/>
          <wp:positionH relativeFrom="column">
            <wp:posOffset>-438150</wp:posOffset>
          </wp:positionH>
          <wp:positionV relativeFrom="paragraph">
            <wp:posOffset>514985</wp:posOffset>
          </wp:positionV>
          <wp:extent cx="7509510" cy="132080"/>
          <wp:effectExtent l="0" t="0" r="0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0094" r="19202"/>
                  <a:stretch>
                    <a:fillRect/>
                  </a:stretch>
                </pic:blipFill>
                <pic:spPr>
                  <a:xfrm>
                    <a:off x="0" y="0"/>
                    <a:ext cx="7509510" cy="132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0AAA" w14:textId="77777777" w:rsidR="002E152D" w:rsidRDefault="002E152D">
      <w:pPr>
        <w:spacing w:after="0" w:line="240" w:lineRule="auto"/>
      </w:pPr>
      <w:r>
        <w:separator/>
      </w:r>
    </w:p>
  </w:footnote>
  <w:footnote w:type="continuationSeparator" w:id="0">
    <w:p w14:paraId="0803AC7D" w14:textId="77777777" w:rsidR="002E152D" w:rsidRDefault="002E1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D4"/>
    <w:rsid w:val="00072AA9"/>
    <w:rsid w:val="00092CED"/>
    <w:rsid w:val="000F18D4"/>
    <w:rsid w:val="001079AD"/>
    <w:rsid w:val="00121174"/>
    <w:rsid w:val="001350DA"/>
    <w:rsid w:val="0016301B"/>
    <w:rsid w:val="001A4527"/>
    <w:rsid w:val="002627DE"/>
    <w:rsid w:val="002E0599"/>
    <w:rsid w:val="002E0EC1"/>
    <w:rsid w:val="002E152D"/>
    <w:rsid w:val="00314079"/>
    <w:rsid w:val="004465C3"/>
    <w:rsid w:val="00531BC0"/>
    <w:rsid w:val="0057199C"/>
    <w:rsid w:val="005A725D"/>
    <w:rsid w:val="009C1FC6"/>
    <w:rsid w:val="009D28B2"/>
    <w:rsid w:val="009E66C5"/>
    <w:rsid w:val="00AB1BB3"/>
    <w:rsid w:val="00AE1AA9"/>
    <w:rsid w:val="00AF1C06"/>
    <w:rsid w:val="00B67DAB"/>
    <w:rsid w:val="00B84AFC"/>
    <w:rsid w:val="00BC2003"/>
    <w:rsid w:val="00BE7758"/>
    <w:rsid w:val="00C927F7"/>
    <w:rsid w:val="00C96C9A"/>
    <w:rsid w:val="00CD4ACA"/>
    <w:rsid w:val="00D026A7"/>
    <w:rsid w:val="00D8339E"/>
    <w:rsid w:val="00DB4EF2"/>
    <w:rsid w:val="00DD3EFE"/>
    <w:rsid w:val="00E1199F"/>
    <w:rsid w:val="00E2288A"/>
    <w:rsid w:val="00E54613"/>
    <w:rsid w:val="00EA5F86"/>
    <w:rsid w:val="00EA7478"/>
    <w:rsid w:val="00E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93A438"/>
  <w15:docId w15:val="{03E7CD5B-6913-064A-9DD5-74BE9182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B55E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5E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F0141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44388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388"/>
    <w:rPr>
      <w:rFonts w:ascii="Arial" w:eastAsia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44388"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443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D33"/>
  </w:style>
  <w:style w:type="paragraph" w:styleId="Zpat">
    <w:name w:val="footer"/>
    <w:basedOn w:val="Normln"/>
    <w:link w:val="ZpatChar"/>
    <w:uiPriority w:val="99"/>
    <w:unhideWhenUsed/>
    <w:rsid w:val="00887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7D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D4E"/>
    <w:pPr>
      <w:spacing w:after="160"/>
    </w:pPr>
    <w:rPr>
      <w:rFonts w:ascii="Calibri" w:eastAsia="Calibri" w:hAnsi="Calibri"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D4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views/EvD_2024_Indexprosperity_3_Spolenost/Dashboard_Spolenostsvobodaasolidarita?:language=en-US&amp;:sid=&amp;:display_count=n&amp;:origin=viz_share_link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public.tableau.com/views/EvD_2024_Indexprosperity_3_Spolenost/Dashboard_Spolenostsvobodaasolidarityhodnoty?:language=en-US&amp;:sid=&amp;:display_count=n&amp;:origin=viz_share_li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public.tableau.com/views/EvD_2024_Indexprosperity_3_Spolenost/Dashboard_Spolenostsvobodaasolidaritarozpad?:language=en-US&amp;:sid=&amp;:display_count=n&amp;:origin=viz_share_link" TargetMode="External"/><Relationship Id="rId17" Type="http://schemas.openxmlformats.org/officeDocument/2006/relationships/hyperlink" Target="https://rsf.org/en/inde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cy.cz/cpi2023/" TargetMode="External"/><Relationship Id="rId20" Type="http://schemas.openxmlformats.org/officeDocument/2006/relationships/hyperlink" Target="http://www.indexprosperity.cz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fonline.org/about-us/research/caf-world-giving-inde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vvm.soc.cas.cz/cz/tiskove-zpravy/politicke/instituce-a-politici/5807-duvera-ustavnim-institucim-unor-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orldhappiness.report/ed/2022/happiness-benevolence-and-trust-during-covid-19-and-beyond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data.europa.eu/data/datasets/s2667_fl519_eng?locale=e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/uoeKigNSNli/YGu+scqHgwmg==">CgMxLjA4AGonChRzdWdnZXN0LnNmaWhhZ3dvYzdvbhIPTHVrw6HFoSBLcm9ww61raigKE3N1Z2dlc3QucGU1NnBoMGZiM2gSEVRlcmV6YSBIcnTDunNvdsOhaikKFHN1Z2dlc3QuOXN4amVyOTl4ZzJwEhFUZXJlemEgSHJ0w7pzb3bDoXIhMUhzQWZrb2E5emZwX01hZzgwbWJpMFB5djloVDVOeW96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1302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Bakešová</dc:creator>
  <cp:lastModifiedBy>Adéla Veselá</cp:lastModifiedBy>
  <cp:revision>37</cp:revision>
  <dcterms:created xsi:type="dcterms:W3CDTF">2022-10-12T06:51:00Z</dcterms:created>
  <dcterms:modified xsi:type="dcterms:W3CDTF">2024-04-24T07:00:00Z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a104e-2916-42dc-a2f6-6210338509ed_Enabled">
    <vt:lpwstr>true</vt:lpwstr>
  </property>
  <property fmtid="{D5CDD505-2E9C-101B-9397-08002B2CF9AE}" pid="3" name="MSIP_Label_2b3a104e-2916-42dc-a2f6-6210338509ed_SetDate">
    <vt:lpwstr>2022-06-13T07:50:24Z</vt:lpwstr>
  </property>
  <property fmtid="{D5CDD505-2E9C-101B-9397-08002B2CF9AE}" pid="4" name="MSIP_Label_2b3a104e-2916-42dc-a2f6-6210338509ed_Method">
    <vt:lpwstr>Standard</vt:lpwstr>
  </property>
  <property fmtid="{D5CDD505-2E9C-101B-9397-08002B2CF9AE}" pid="5" name="MSIP_Label_2b3a104e-2916-42dc-a2f6-6210338509ed_Name">
    <vt:lpwstr>2b3a104e-2916-42dc-a2f6-6210338509ed</vt:lpwstr>
  </property>
  <property fmtid="{D5CDD505-2E9C-101B-9397-08002B2CF9AE}" pid="6" name="MSIP_Label_2b3a104e-2916-42dc-a2f6-6210338509ed_SiteId">
    <vt:lpwstr>e70aafb3-2e89-46a5-ba50-66803e8a4411</vt:lpwstr>
  </property>
  <property fmtid="{D5CDD505-2E9C-101B-9397-08002B2CF9AE}" pid="7" name="MSIP_Label_2b3a104e-2916-42dc-a2f6-6210338509ed_ActionId">
    <vt:lpwstr>87e722f6-8a85-4d74-9307-d8e67f666506</vt:lpwstr>
  </property>
  <property fmtid="{D5CDD505-2E9C-101B-9397-08002B2CF9AE}" pid="8" name="MSIP_Label_2b3a104e-2916-42dc-a2f6-6210338509ed_ContentBits">
    <vt:lpwstr>1</vt:lpwstr>
  </property>
</Properties>
</file>