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3A438" w14:textId="0BCE4FF2" w:rsidR="000F18D4" w:rsidRPr="004465C3" w:rsidRDefault="004465C3">
      <w:pPr>
        <w:spacing w:line="252" w:lineRule="auto"/>
        <w:jc w:val="both"/>
        <w:rPr>
          <w:rFonts w:ascii="Aptos" w:eastAsia="Aptos" w:hAnsi="Aptos" w:cs="Aptos"/>
          <w:sz w:val="20"/>
          <w:szCs w:val="20"/>
        </w:rPr>
      </w:pPr>
      <w:r w:rsidRPr="004465C3">
        <w:rPr>
          <w:rFonts w:ascii="Aptos" w:hAnsi="Aptos"/>
          <w:noProof/>
        </w:rPr>
        <w:drawing>
          <wp:anchor distT="114300" distB="114300" distL="114300" distR="114300" simplePos="0" relativeHeight="251658240" behindDoc="0" locked="0" layoutInCell="1" hidden="0" allowOverlap="1" wp14:anchorId="1B93A45B" wp14:editId="692E97F2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1616710" cy="377825"/>
            <wp:effectExtent l="0" t="0" r="0" b="3175"/>
            <wp:wrapSquare wrapText="bothSides" distT="114300" distB="114300" distL="114300" distR="11430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377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93A43A" w14:textId="77777777" w:rsidR="000F18D4" w:rsidRDefault="000F18D4">
      <w:pPr>
        <w:jc w:val="both"/>
        <w:rPr>
          <w:rFonts w:ascii="Aptos" w:eastAsia="Aptos" w:hAnsi="Aptos" w:cs="Aptos"/>
          <w:sz w:val="20"/>
          <w:szCs w:val="20"/>
        </w:rPr>
      </w:pPr>
    </w:p>
    <w:p w14:paraId="7E5002A5" w14:textId="6A6DD04A" w:rsidR="002B4748" w:rsidRPr="002B4748" w:rsidRDefault="002E0599" w:rsidP="002B4748">
      <w:pPr>
        <w:jc w:val="both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>ČLÁNEK</w:t>
      </w:r>
    </w:p>
    <w:p w14:paraId="4DF09E23" w14:textId="4FCCFA16" w:rsidR="002B4748" w:rsidRPr="002B4748" w:rsidRDefault="002B4748" w:rsidP="002B474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Česko si ve srovnání finančního zdraví v EU meziročně polepšilo z 12. na 9. příčku. Hlavní příčinou je ale zhoršení států, které byly ještě vloni před námi</w:t>
      </w:r>
    </w:p>
    <w:p w14:paraId="5BD09CFC" w14:textId="5C1D61D3" w:rsidR="002B4748" w:rsidRPr="002B4748" w:rsidRDefault="002B4748" w:rsidP="002B4748">
      <w:pPr>
        <w:jc w:val="both"/>
        <w:rPr>
          <w:b/>
        </w:rPr>
      </w:pPr>
      <w:r>
        <w:rPr>
          <w:b/>
        </w:rPr>
        <w:t>Česko si v pilíři Finančního zdraví Indexu prosperity meziročně polepšilo z 12. místa na 9. Za tímto na první pohled pozitivním výsledkem ale nestojí výrazný posun v Česku, v mnoha sledovaných indikátorech jsme totiž byli spíše stabilní. Pozitivní posun Česka zapříčinil především propad v zemích, které byly ještě v loňském roce před námi. Nejvíce je tento fenomén v Česku vidět u indikátoru úspor, které ve srovnání s příjmy zůstávají meziročně takřka totožné, ale v unijním srovnání nás posouvají z 12. příčky na 7. místo. V některých indikátorech jsme se navíc vyloženě zhoršili, což je případ například sociální a materiální deprivace nebo finanční rezervy nízkopříjmových domácností. Celkově se tak situace ČR výrazně nezlepšila, ale v rámci srovnávání těžíme z propadu zbylých států.</w:t>
      </w:r>
    </w:p>
    <w:p w14:paraId="00C2AA1C" w14:textId="7A4B7A6D" w:rsidR="002B4748" w:rsidRDefault="002B4748" w:rsidP="002B4748">
      <w:pPr>
        <w:jc w:val="both"/>
      </w:pPr>
      <w:r>
        <w:t>Zatímco vloni Česku v pilíři Finančního zdraví patřila 12. příčka, letos jsme se posunuli na 9. místo v EU. Podle zjištění Indexu prosperity a finančního zdraví to však nebylo způsobeno výrazným zlepšením napříč sledovanými indikátory, ale spíše zhoršením států, které byly ještě v loňském ročníku před námi. Letos jsme například překonali Finsko, které se z 11. příčky propadlo na 14., Irsko nebo Itálii. Na špičce srovnání však nadále zůstává Nizozemsko s Lucemburskem a trojici zemí s nejlépe hodnoceným finančním zdraví letos nově uzavírá Švédsko.</w:t>
      </w:r>
    </w:p>
    <w:p w14:paraId="1A66888C" w14:textId="757D8818" w:rsidR="002B4748" w:rsidRDefault="002B4748" w:rsidP="002B4748">
      <w:pPr>
        <w:jc w:val="both"/>
      </w:pPr>
      <w:r>
        <w:t>Na opačném konci srovnání došlo také ke změnám, ale ty nebyly tak výrazné jako na špičce. Trojici nejhůře postavených zemí nadále uzavírá na 27. příčce Řecko a v podstatě došlo jen prohození umístění Slovenska a Bulharska, kde tentokrát lépe dopadli naši sousedé, kteří skončili na 25. příčce.</w:t>
      </w:r>
    </w:p>
    <w:p w14:paraId="6A912265" w14:textId="77777777" w:rsidR="002B4748" w:rsidRPr="003D0A77" w:rsidRDefault="002B4748" w:rsidP="002B4748">
      <w:pPr>
        <w:jc w:val="both"/>
        <w:rPr>
          <w:b/>
          <w:bCs/>
        </w:rPr>
      </w:pPr>
      <w:r w:rsidRPr="003D0A77">
        <w:rPr>
          <w:b/>
          <w:bCs/>
        </w:rPr>
        <w:t>[</w:t>
      </w:r>
      <w:hyperlink r:id="rId8">
        <w:r w:rsidRPr="003D0A77">
          <w:rPr>
            <w:b/>
            <w:bCs/>
            <w:color w:val="1155CC"/>
            <w:u w:val="single"/>
          </w:rPr>
          <w:t>Infografika – mapa</w:t>
        </w:r>
      </w:hyperlink>
      <w:r w:rsidRPr="003D0A77">
        <w:rPr>
          <w:b/>
          <w:bCs/>
        </w:rPr>
        <w:t>]</w:t>
      </w:r>
    </w:p>
    <w:p w14:paraId="5CE17E17" w14:textId="77777777" w:rsidR="002B4748" w:rsidRDefault="002B4748" w:rsidP="002B4748">
      <w:pPr>
        <w:jc w:val="center"/>
      </w:pPr>
      <w:r>
        <w:rPr>
          <w:noProof/>
        </w:rPr>
        <w:drawing>
          <wp:inline distT="114300" distB="114300" distL="114300" distR="114300" wp14:anchorId="76408B34" wp14:editId="70CEFA1E">
            <wp:extent cx="5741988" cy="3346388"/>
            <wp:effectExtent l="0" t="0" r="0" b="0"/>
            <wp:docPr id="3" name="image2.png" descr="Obsah obrázku text, snímek obrazovky, mapa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Obsah obrázku text, snímek obrazovky, mapa&#10;&#10;Popis byl vytvořen automaticky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0843" cy="33923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AF2CCB" w14:textId="77777777" w:rsidR="002B4748" w:rsidRDefault="002B4748" w:rsidP="002B4748">
      <w:pPr>
        <w:jc w:val="both"/>
        <w:rPr>
          <w:b/>
        </w:rPr>
      </w:pPr>
      <w:r>
        <w:rPr>
          <w:b/>
        </w:rPr>
        <w:t>Úspory nám zůstávají, jinde se ztenčují</w:t>
      </w:r>
    </w:p>
    <w:p w14:paraId="65703F4E" w14:textId="6EF018E3" w:rsidR="002B4748" w:rsidRDefault="002B4748" w:rsidP="002B4748">
      <w:pPr>
        <w:jc w:val="both"/>
      </w:pPr>
      <w:r>
        <w:t>K výraznému zlepšení umístění Česka došlo v indikátoru srovnávajícím úspory a příjmy. Zatímco vloni jsme se zde umístili na 12. příčce, letos Česko poskočilo až na 7. místo mezi unijní sedmadvacítkou.</w:t>
      </w:r>
      <w:r>
        <w:rPr>
          <w:i/>
        </w:rPr>
        <w:t xml:space="preserve"> „Příčinou však není strmý růst úspor, ty v Česku zůstávají na téměř totožných hodnotách a už druhým rokem se </w:t>
      </w:r>
      <w:proofErr w:type="gramStart"/>
      <w:r>
        <w:rPr>
          <w:i/>
        </w:rPr>
        <w:t>drží</w:t>
      </w:r>
      <w:proofErr w:type="gramEnd"/>
      <w:r>
        <w:rPr>
          <w:i/>
        </w:rPr>
        <w:t xml:space="preserve"> kolem 16,4 % příjmů,“</w:t>
      </w:r>
      <w:r>
        <w:t xml:space="preserve"> vysvětluje Tomáš Odstrčil, analytik Evropy v datech a dodává: </w:t>
      </w:r>
      <w:r>
        <w:rPr>
          <w:i/>
        </w:rPr>
        <w:t>„Strmý posun Česka způsobil zejména propad zemí, které byly ještě před rokem před námi. K výraznému ztenčení úspor došlo například v Irsku, kde ještě vloni dokázali obyvatelé průměrně uspořit 24 % příjmů, zatímco letos už to bylo jen 12 %.“</w:t>
      </w:r>
      <w:r>
        <w:t xml:space="preserve"> </w:t>
      </w:r>
    </w:p>
    <w:p w14:paraId="00DEEF84" w14:textId="6EF2E91C" w:rsidR="002B4748" w:rsidRDefault="002B4748" w:rsidP="002B4748">
      <w:pPr>
        <w:jc w:val="both"/>
      </w:pPr>
      <w:r>
        <w:lastRenderedPageBreak/>
        <w:t xml:space="preserve">Výrazně problematická je pak situace v Polsku, kde se hodnoty úspor dostávají lehce do minusu (a mizí tak i peníze našetřené dříve) a v Řecku, kde úspory domácností dosahují -4 %. </w:t>
      </w:r>
      <w:r>
        <w:rPr>
          <w:i/>
        </w:rPr>
        <w:t xml:space="preserve">„Češi dlouhodobě </w:t>
      </w:r>
      <w:proofErr w:type="gramStart"/>
      <w:r>
        <w:rPr>
          <w:i/>
        </w:rPr>
        <w:t>patří</w:t>
      </w:r>
      <w:proofErr w:type="gramEnd"/>
      <w:r>
        <w:rPr>
          <w:i/>
        </w:rPr>
        <w:t xml:space="preserve"> k ‚šetřivějším‘ národům v rámci EU. V horších časech, jako byla pandemie koronaviru, počátek ruské agrese na Ukrajině a s ním spojená nejistá budoucnost, šetřili o to více. Největší část finančních prostředků mají Češi na netermínovaných účtech, kde měli ke konci letošního května uloženo 2,6 bilionu korun. Z toho zhruba polovinu </w:t>
      </w:r>
      <w:proofErr w:type="gramStart"/>
      <w:r>
        <w:rPr>
          <w:i/>
        </w:rPr>
        <w:t>tvoří</w:t>
      </w:r>
      <w:proofErr w:type="gramEnd"/>
      <w:r>
        <w:rPr>
          <w:i/>
        </w:rPr>
        <w:t xml:space="preserve"> běžné účty, druhou polovinu pak různé druhy spořicích účtů,“ </w:t>
      </w:r>
      <w:r>
        <w:t xml:space="preserve">vysvětluje Tereza Hrtúsová, analytička České spořitelny a doplňuje: </w:t>
      </w:r>
      <w:r>
        <w:rPr>
          <w:i/>
        </w:rPr>
        <w:t xml:space="preserve">„Se zvyšujícími se úrokovými sazbami vzrostl od konce roku 2021 také zájem o termínované vklady, ve kterých mají Češi aktuálně uloženo dvakrát více finančních prostředků, než tomu bylo na konci roku 2021. Že se Češi </w:t>
      </w:r>
      <w:proofErr w:type="gramStart"/>
      <w:r>
        <w:rPr>
          <w:i/>
        </w:rPr>
        <w:t>snaží</w:t>
      </w:r>
      <w:proofErr w:type="gramEnd"/>
      <w:r>
        <w:rPr>
          <w:i/>
        </w:rPr>
        <w:t xml:space="preserve"> o lepší zhodnocení svých prostředků potvrzují také naše data. Meziročně vzrostl počet nových investorů do podílových fondů o více než 40 tisíc na celkových 628 tisíc investorů a objem investic meziročně narostl téměř o pětinu,“ </w:t>
      </w:r>
      <w:r>
        <w:t>popisuje situaci analytička České spořitelny.</w:t>
      </w:r>
    </w:p>
    <w:p w14:paraId="03974D16" w14:textId="77777777" w:rsidR="002B4748" w:rsidRPr="003D0A77" w:rsidRDefault="002B4748" w:rsidP="002B4748">
      <w:pPr>
        <w:jc w:val="both"/>
        <w:rPr>
          <w:b/>
          <w:bCs/>
        </w:rPr>
      </w:pPr>
      <w:r w:rsidRPr="003D0A77">
        <w:rPr>
          <w:b/>
          <w:bCs/>
        </w:rPr>
        <w:t>[</w:t>
      </w:r>
      <w:hyperlink r:id="rId10">
        <w:r w:rsidRPr="003D0A77">
          <w:rPr>
            <w:b/>
            <w:bCs/>
            <w:color w:val="1155CC"/>
            <w:u w:val="single"/>
          </w:rPr>
          <w:t>Infografika – rozpad</w:t>
        </w:r>
      </w:hyperlink>
      <w:r w:rsidRPr="003D0A77">
        <w:rPr>
          <w:b/>
          <w:bCs/>
        </w:rPr>
        <w:t>]</w:t>
      </w:r>
    </w:p>
    <w:p w14:paraId="45A6F0B6" w14:textId="088D8D21" w:rsidR="002B4748" w:rsidRDefault="002B4748" w:rsidP="002B4748">
      <w:pPr>
        <w:jc w:val="center"/>
      </w:pPr>
      <w:r>
        <w:rPr>
          <w:noProof/>
        </w:rPr>
        <w:drawing>
          <wp:inline distT="114300" distB="114300" distL="114300" distR="114300" wp14:anchorId="3C3D2A31" wp14:editId="4AFC97C2">
            <wp:extent cx="5632959" cy="3282846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3728" cy="33007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6D4C49" w14:textId="77777777" w:rsidR="002B4748" w:rsidRDefault="002B4748" w:rsidP="002B4748">
      <w:pPr>
        <w:jc w:val="both"/>
        <w:rPr>
          <w:b/>
        </w:rPr>
      </w:pPr>
      <w:r>
        <w:rPr>
          <w:b/>
        </w:rPr>
        <w:t>Finanční rovnost je v Česku stále daleko</w:t>
      </w:r>
    </w:p>
    <w:p w14:paraId="6500F098" w14:textId="23D0C311" w:rsidR="002B4748" w:rsidRDefault="002B4748" w:rsidP="002B4748">
      <w:pPr>
        <w:jc w:val="both"/>
      </w:pPr>
      <w:r>
        <w:t xml:space="preserve">Jedním ze sledovaných indikátorů je i takzvaná finanční rovnost, kterou sleduje žebříček Gender </w:t>
      </w:r>
      <w:proofErr w:type="spellStart"/>
      <w:r>
        <w:t>Equality</w:t>
      </w:r>
      <w:proofErr w:type="spellEnd"/>
      <w:r>
        <w:t xml:space="preserve"> Index. Zatímco v ohrožení chudobou se českým mužům a ženám </w:t>
      </w:r>
      <w:proofErr w:type="gramStart"/>
      <w:r>
        <w:t>daří</w:t>
      </w:r>
      <w:proofErr w:type="gramEnd"/>
      <w:r>
        <w:t xml:space="preserve"> vesměs nastejno, v přístupu k finančním prostředkům jsou na tom ženy výrazně hůř. V unijním srovnání nám proto ve finanční rovnosti </w:t>
      </w:r>
      <w:proofErr w:type="gramStart"/>
      <w:r>
        <w:t>patří</w:t>
      </w:r>
      <w:proofErr w:type="gramEnd"/>
      <w:r>
        <w:t xml:space="preserve"> 15. příčka, což je totožné umístění jako v předchozím ročníku.</w:t>
      </w:r>
    </w:p>
    <w:p w14:paraId="5114EFA3" w14:textId="61FC4ACA" w:rsidR="002B4748" w:rsidRDefault="002B4748" w:rsidP="002B4748">
      <w:pPr>
        <w:jc w:val="both"/>
      </w:pPr>
      <w:r>
        <w:t>Dlouhodobě ale jde v Česku sledovat pozvolné zlepšování stavu. Zatímco v roce 2013 jsme získali hodnocení 73,8 bodů ze sta, v ročníku 2023 už šlo o 79,4 bodů.</w:t>
      </w:r>
    </w:p>
    <w:p w14:paraId="2B3A1868" w14:textId="77777777" w:rsidR="002B4748" w:rsidRDefault="002B4748" w:rsidP="002B4748">
      <w:pPr>
        <w:jc w:val="both"/>
        <w:rPr>
          <w:b/>
        </w:rPr>
      </w:pPr>
      <w:r>
        <w:rPr>
          <w:b/>
        </w:rPr>
        <w:t>Sociální či materiální deprivací trpí 2,7 % českých domácností</w:t>
      </w:r>
    </w:p>
    <w:p w14:paraId="68143E45" w14:textId="4D04DD63" w:rsidR="002B4748" w:rsidRDefault="002B4748" w:rsidP="002B4748">
      <w:pPr>
        <w:jc w:val="both"/>
      </w:pPr>
      <w:r>
        <w:t xml:space="preserve">Naopak ke zhoršení však došlo v indikátoru sociální a materiální deprivace, kde jsme se propadli ze čtvrtého místa na sedmé – deprivací tak trpí 2,7 % domácností v Česku. Tento ukazatel zahrnuje domácnosti, které nejsou schopny pokrýt alespoň pět ze třinácti základních potřeb jako je schopnost adekvátně vytápět, nahradit rozbitý nábytek, pokrýt neočekávané výdaje atd. </w:t>
      </w:r>
    </w:p>
    <w:p w14:paraId="522F93E1" w14:textId="4095AC52" w:rsidR="002B4748" w:rsidRDefault="002B4748" w:rsidP="002B4748">
      <w:pPr>
        <w:jc w:val="both"/>
      </w:pPr>
      <w:r>
        <w:t xml:space="preserve">Ačkoliv tento vývoj </w:t>
      </w:r>
      <w:proofErr w:type="gramStart"/>
      <w:r>
        <w:t>značí</w:t>
      </w:r>
      <w:proofErr w:type="gramEnd"/>
      <w:r>
        <w:t xml:space="preserve"> nebezpečný trend, situace stále není tak tragická jako například na Slovensku, kde deprivací trpí až 7 % domácností. Nejhůř je na tom pak Rumunsko, kde se s tímto problémem potýká pětina domácností. „</w:t>
      </w:r>
      <w:r>
        <w:rPr>
          <w:i/>
        </w:rPr>
        <w:t>Více než polovina Čechů nemá finanční rezervu alespoň na tři měsíce dopředu a není tak připravena na nečekaný finanční výdaj,</w:t>
      </w:r>
      <w:r>
        <w:t xml:space="preserve">“ vysvětluje Monika Hrubá, která má na starost strategii finančního zdraví v České spořitelně. </w:t>
      </w:r>
      <w:r>
        <w:rPr>
          <w:i/>
        </w:rPr>
        <w:t xml:space="preserve">„V bance se snažíme těmto zranitelným klientům pomáhat a zlepšovat jejich finanční zdraví skrze osobní poradenství jak v bankovní aplikaci, tak na osobních schůzkách s bankéři na pobočkách. Ať už jde o posílení jejich příjmové stránky, větší kontrolu </w:t>
      </w:r>
      <w:r>
        <w:rPr>
          <w:i/>
        </w:rPr>
        <w:lastRenderedPageBreak/>
        <w:t>nad výdaji, tak ve zlepšování spořicích návyků. V rámci naší proaktivní kampaně v loňském a letošním roce jsme již oslovili přes 280 tisíc klientů, kteří by mohli čerpat některou ze státních dávek jako příspěvek na bydlení, přídavek na dítě nebo mimořádnou okamžitou pomoc,”</w:t>
      </w:r>
      <w:r>
        <w:t xml:space="preserve"> doplňuje Hrubá.</w:t>
      </w:r>
    </w:p>
    <w:p w14:paraId="3A74C06B" w14:textId="7F2CE73E" w:rsidR="002B4748" w:rsidRDefault="002B4748" w:rsidP="002B4748">
      <w:pPr>
        <w:jc w:val="both"/>
      </w:pPr>
      <w:r>
        <w:t>Propad v Česku nastal i u nízkopříjmových domácností s příjmem pod 60 % mediánu mezd, které nejsou připraveny na neočekávané výdaje. Až 56,6 % těchto domácností nemá finanční rezervu, což nás posunulo až na 12. příčku v EU. Ještě vloni šlo o 52 %.</w:t>
      </w:r>
    </w:p>
    <w:p w14:paraId="2C069D9E" w14:textId="77777777" w:rsidR="002B4748" w:rsidRDefault="002B4748" w:rsidP="002B4748">
      <w:pPr>
        <w:jc w:val="both"/>
      </w:pPr>
      <w:r>
        <w:t>[</w:t>
      </w:r>
      <w:hyperlink r:id="rId12">
        <w:r>
          <w:rPr>
            <w:color w:val="1155CC"/>
            <w:u w:val="single"/>
          </w:rPr>
          <w:t>Infografika – hodnoty</w:t>
        </w:r>
      </w:hyperlink>
      <w:r>
        <w:t>]</w:t>
      </w:r>
    </w:p>
    <w:p w14:paraId="14D97A96" w14:textId="77777777" w:rsidR="002B4748" w:rsidRDefault="002B4748" w:rsidP="002B4748">
      <w:pPr>
        <w:jc w:val="center"/>
      </w:pPr>
      <w:r>
        <w:rPr>
          <w:noProof/>
        </w:rPr>
        <w:drawing>
          <wp:inline distT="114300" distB="114300" distL="114300" distR="114300" wp14:anchorId="3BB7C184" wp14:editId="6CF09FBE">
            <wp:extent cx="5414329" cy="3155430"/>
            <wp:effectExtent l="0" t="0" r="0" b="0"/>
            <wp:docPr id="2" name="image1.png" descr="Obsah obrázku text, snímek obrazovky, Vykreslený graf, nachový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Obsah obrázku text, snímek obrazovky, Vykreslený graf, nachový&#10;&#10;Popis byl vytvořen automaticky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7706" cy="31748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2E8890" w14:textId="77777777" w:rsidR="00EA5F86" w:rsidRDefault="00EA5F86" w:rsidP="002B4748">
      <w:pPr>
        <w:rPr>
          <w:rFonts w:ascii="Aptos" w:hAnsi="Aptos"/>
        </w:rPr>
      </w:pPr>
    </w:p>
    <w:p w14:paraId="38055F73" w14:textId="77777777" w:rsidR="00EA5F86" w:rsidRPr="00EA5F86" w:rsidRDefault="00EA5F86" w:rsidP="00EA5F86">
      <w:pPr>
        <w:jc w:val="center"/>
        <w:rPr>
          <w:rFonts w:ascii="Aptos" w:hAnsi="Aptos"/>
        </w:rPr>
      </w:pPr>
    </w:p>
    <w:p w14:paraId="1B93A455" w14:textId="706B4AEC" w:rsidR="000F18D4" w:rsidRPr="004465C3" w:rsidRDefault="004465C3">
      <w:pPr>
        <w:jc w:val="both"/>
        <w:rPr>
          <w:rFonts w:ascii="Aptos" w:eastAsia="Aptos" w:hAnsi="Aptos" w:cs="Aptos"/>
        </w:rPr>
      </w:pPr>
      <w:r w:rsidRPr="004465C3">
        <w:rPr>
          <w:rFonts w:ascii="Aptos" w:eastAsia="Aptos" w:hAnsi="Aptos" w:cs="Aptos"/>
        </w:rPr>
        <w:t xml:space="preserve">Více o Indexu prosperity </w:t>
      </w:r>
      <w:r w:rsidR="00EA5F86">
        <w:rPr>
          <w:rFonts w:ascii="Aptos" w:eastAsia="Aptos" w:hAnsi="Aptos" w:cs="Aptos"/>
        </w:rPr>
        <w:t xml:space="preserve">a finančního zdraví </w:t>
      </w:r>
      <w:r w:rsidRPr="004465C3">
        <w:rPr>
          <w:rFonts w:ascii="Aptos" w:eastAsia="Aptos" w:hAnsi="Aptos" w:cs="Aptos"/>
        </w:rPr>
        <w:t xml:space="preserve">na </w:t>
      </w:r>
      <w:hyperlink r:id="rId14">
        <w:r w:rsidRPr="004465C3">
          <w:rPr>
            <w:rFonts w:ascii="Aptos" w:eastAsia="Aptos" w:hAnsi="Aptos" w:cs="Aptos"/>
            <w:color w:val="1155CC"/>
            <w:u w:val="single"/>
          </w:rPr>
          <w:t>Indexprosperity.cz</w:t>
        </w:r>
      </w:hyperlink>
      <w:r w:rsidRPr="004465C3">
        <w:rPr>
          <w:rFonts w:ascii="Aptos" w:eastAsia="Aptos" w:hAnsi="Aptos" w:cs="Aptos"/>
        </w:rPr>
        <w:t>.</w:t>
      </w:r>
    </w:p>
    <w:p w14:paraId="1B93A456" w14:textId="77777777" w:rsidR="000F18D4" w:rsidRPr="004465C3" w:rsidRDefault="000F18D4">
      <w:pPr>
        <w:spacing w:after="0"/>
        <w:jc w:val="both"/>
        <w:rPr>
          <w:rFonts w:ascii="Aptos" w:eastAsia="Aptos" w:hAnsi="Aptos" w:cs="Aptos"/>
          <w:b/>
        </w:rPr>
      </w:pPr>
    </w:p>
    <w:p w14:paraId="1B93A457" w14:textId="77777777" w:rsidR="000F18D4" w:rsidRPr="004465C3" w:rsidRDefault="004465C3">
      <w:pPr>
        <w:spacing w:after="0"/>
        <w:jc w:val="both"/>
        <w:rPr>
          <w:rFonts w:ascii="Aptos" w:eastAsia="Aptos" w:hAnsi="Aptos" w:cs="Aptos"/>
          <w:b/>
        </w:rPr>
      </w:pPr>
      <w:r w:rsidRPr="004465C3">
        <w:rPr>
          <w:rFonts w:ascii="Aptos" w:eastAsia="Aptos" w:hAnsi="Aptos" w:cs="Aptos"/>
          <w:b/>
        </w:rPr>
        <w:t>Kontakt pro média:</w:t>
      </w:r>
    </w:p>
    <w:p w14:paraId="1B93A458" w14:textId="77777777" w:rsidR="000F18D4" w:rsidRPr="004465C3" w:rsidRDefault="004465C3">
      <w:pPr>
        <w:spacing w:after="0"/>
        <w:jc w:val="both"/>
        <w:rPr>
          <w:rFonts w:ascii="Aptos" w:eastAsia="Aptos" w:hAnsi="Aptos" w:cs="Aptos"/>
        </w:rPr>
      </w:pPr>
      <w:r w:rsidRPr="004465C3">
        <w:rPr>
          <w:rFonts w:ascii="Aptos" w:eastAsia="Aptos" w:hAnsi="Aptos" w:cs="Aptos"/>
        </w:rPr>
        <w:t>Adéla Veselá</w:t>
      </w:r>
    </w:p>
    <w:p w14:paraId="1B93A459" w14:textId="77777777" w:rsidR="000F18D4" w:rsidRPr="004465C3" w:rsidRDefault="004465C3">
      <w:pPr>
        <w:spacing w:after="0"/>
        <w:jc w:val="both"/>
        <w:rPr>
          <w:rFonts w:ascii="Aptos" w:eastAsia="Aptos" w:hAnsi="Aptos" w:cs="Aptos"/>
        </w:rPr>
      </w:pPr>
      <w:r w:rsidRPr="004465C3">
        <w:rPr>
          <w:rFonts w:ascii="Aptos" w:eastAsia="Aptos" w:hAnsi="Aptos" w:cs="Aptos"/>
          <w:color w:val="0563C1"/>
          <w:u w:val="single"/>
        </w:rPr>
        <w:t>adela.vesela@dfmg.cz</w:t>
      </w:r>
    </w:p>
    <w:p w14:paraId="1B93A45A" w14:textId="0B072056" w:rsidR="000F18D4" w:rsidRPr="004465C3" w:rsidRDefault="00B67DAB">
      <w:pPr>
        <w:spacing w:after="0"/>
        <w:jc w:val="both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Tel.</w:t>
      </w:r>
      <w:r w:rsidR="004465C3" w:rsidRPr="004465C3">
        <w:rPr>
          <w:rFonts w:ascii="Aptos" w:eastAsia="Aptos" w:hAnsi="Aptos" w:cs="Aptos"/>
        </w:rPr>
        <w:t xml:space="preserve">: </w:t>
      </w:r>
      <w:r>
        <w:rPr>
          <w:rFonts w:ascii="Aptos" w:eastAsia="Aptos" w:hAnsi="Aptos" w:cs="Aptos"/>
        </w:rPr>
        <w:t xml:space="preserve">+420 </w:t>
      </w:r>
      <w:r w:rsidR="004465C3" w:rsidRPr="004465C3">
        <w:rPr>
          <w:rFonts w:ascii="Aptos" w:eastAsia="Aptos" w:hAnsi="Aptos" w:cs="Aptos"/>
        </w:rPr>
        <w:t>722 193 819</w:t>
      </w:r>
    </w:p>
    <w:sectPr w:rsidR="000F18D4" w:rsidRPr="004465C3">
      <w:footerReference w:type="default" r:id="rId15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96A3D" w14:textId="77777777" w:rsidR="002E152D" w:rsidRDefault="002E152D">
      <w:pPr>
        <w:spacing w:after="0" w:line="240" w:lineRule="auto"/>
      </w:pPr>
      <w:r>
        <w:separator/>
      </w:r>
    </w:p>
  </w:endnote>
  <w:endnote w:type="continuationSeparator" w:id="0">
    <w:p w14:paraId="2CFC4DB9" w14:textId="77777777" w:rsidR="002E152D" w:rsidRDefault="002E1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3A45E" w14:textId="77777777" w:rsidR="000F18D4" w:rsidRDefault="004465C3">
    <w:r>
      <w:rPr>
        <w:noProof/>
      </w:rPr>
      <w:drawing>
        <wp:anchor distT="0" distB="0" distL="0" distR="0" simplePos="0" relativeHeight="251659264" behindDoc="0" locked="0" layoutInCell="1" hidden="0" allowOverlap="1" wp14:anchorId="1B93A461" wp14:editId="102D5C47">
          <wp:simplePos x="0" y="0"/>
          <wp:positionH relativeFrom="column">
            <wp:posOffset>-438150</wp:posOffset>
          </wp:positionH>
          <wp:positionV relativeFrom="paragraph">
            <wp:posOffset>514985</wp:posOffset>
          </wp:positionV>
          <wp:extent cx="7509510" cy="132080"/>
          <wp:effectExtent l="0" t="0" r="0" b="0"/>
          <wp:wrapTopAndBottom distT="0" distB="0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20094" r="19202"/>
                  <a:stretch>
                    <a:fillRect/>
                  </a:stretch>
                </pic:blipFill>
                <pic:spPr>
                  <a:xfrm>
                    <a:off x="0" y="0"/>
                    <a:ext cx="7509510" cy="132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70AAA" w14:textId="77777777" w:rsidR="002E152D" w:rsidRDefault="002E152D">
      <w:pPr>
        <w:spacing w:after="0" w:line="240" w:lineRule="auto"/>
      </w:pPr>
      <w:r>
        <w:separator/>
      </w:r>
    </w:p>
  </w:footnote>
  <w:footnote w:type="continuationSeparator" w:id="0">
    <w:p w14:paraId="0803AC7D" w14:textId="77777777" w:rsidR="002E152D" w:rsidRDefault="002E15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D4"/>
    <w:rsid w:val="00072AA9"/>
    <w:rsid w:val="00092CED"/>
    <w:rsid w:val="000F18D4"/>
    <w:rsid w:val="001079AD"/>
    <w:rsid w:val="00121174"/>
    <w:rsid w:val="001350DA"/>
    <w:rsid w:val="0016301B"/>
    <w:rsid w:val="001A4527"/>
    <w:rsid w:val="002627DE"/>
    <w:rsid w:val="002B4748"/>
    <w:rsid w:val="002E0599"/>
    <w:rsid w:val="002E0EC1"/>
    <w:rsid w:val="002E152D"/>
    <w:rsid w:val="00314079"/>
    <w:rsid w:val="004465C3"/>
    <w:rsid w:val="00531BC0"/>
    <w:rsid w:val="0057199C"/>
    <w:rsid w:val="005A725D"/>
    <w:rsid w:val="007119E3"/>
    <w:rsid w:val="009C1FC6"/>
    <w:rsid w:val="009D28B2"/>
    <w:rsid w:val="009E66C5"/>
    <w:rsid w:val="00AB1BB3"/>
    <w:rsid w:val="00AE1AA9"/>
    <w:rsid w:val="00AF1C06"/>
    <w:rsid w:val="00B67DAB"/>
    <w:rsid w:val="00B84AFC"/>
    <w:rsid w:val="00BC2003"/>
    <w:rsid w:val="00BE7758"/>
    <w:rsid w:val="00C927F7"/>
    <w:rsid w:val="00C96C9A"/>
    <w:rsid w:val="00CD4ACA"/>
    <w:rsid w:val="00D026A7"/>
    <w:rsid w:val="00D8339E"/>
    <w:rsid w:val="00DB4EF2"/>
    <w:rsid w:val="00DD3EFE"/>
    <w:rsid w:val="00E1199F"/>
    <w:rsid w:val="00E2288A"/>
    <w:rsid w:val="00E54613"/>
    <w:rsid w:val="00EA5F86"/>
    <w:rsid w:val="00EA7478"/>
    <w:rsid w:val="00ED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93A438"/>
  <w15:docId w15:val="{03E7CD5B-6913-064A-9DD5-74BE9182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B55E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5E4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F0141"/>
    <w:pPr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644388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4388"/>
    <w:rPr>
      <w:rFonts w:ascii="Arial" w:eastAsia="Arial" w:hAnsi="Arial" w:cs="Arial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44388"/>
    <w:rPr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44388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87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7D33"/>
  </w:style>
  <w:style w:type="paragraph" w:styleId="Zpat">
    <w:name w:val="footer"/>
    <w:basedOn w:val="Normln"/>
    <w:link w:val="ZpatChar"/>
    <w:uiPriority w:val="99"/>
    <w:unhideWhenUsed/>
    <w:rsid w:val="00887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7D3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1D4E"/>
    <w:pPr>
      <w:spacing w:after="160"/>
    </w:pPr>
    <w:rPr>
      <w:rFonts w:ascii="Calibri" w:eastAsia="Calibri" w:hAnsi="Calibri" w:cs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1D4E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tableau.com/views/EvD_2024_Indexprosperity_6_Finannzdrav/Dashboard_mapa?:language=en-US&amp;:sid=&amp;:redirect=auth&amp;:display_count=n&amp;:origin=viz_share_link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ublic.tableau.com/views/EvD_2024_Indexprosperity_6_Finannzdrav/Dashboard_hodnoty?:language=en-US&amp;:sid=&amp;:redirect=auth&amp;:display_count=n&amp;:origin=viz_share_lin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ublic.tableau.com/views/EvD_2024_Indexprosperity_6_Finannzdrav/Dashboard_rozpad?:language=en-US&amp;:sid=&amp;:redirect=auth&amp;:display_count=n&amp;:origin=viz_share_lin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indexprosperity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V/uoeKigNSNli/YGu+scqHgwmg==">CgMxLjA4AGonChRzdWdnZXN0LnNmaWhhZ3dvYzdvbhIPTHVrw6HFoSBLcm9ww61raigKE3N1Z2dlc3QucGU1NnBoMGZiM2gSEVRlcmV6YSBIcnTDunNvdsOhaikKFHN1Z2dlc3QuOXN4amVyOTl4ZzJwEhFUZXJlemEgSHJ0w7pzb3bDoXIhMUhzQWZrb2E5emZwX01hZzgwbWJpMFB5djloVDVOeW96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972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Bakešová</dc:creator>
  <cp:lastModifiedBy>Adéla Veselá</cp:lastModifiedBy>
  <cp:revision>38</cp:revision>
  <dcterms:created xsi:type="dcterms:W3CDTF">2022-10-12T06:51:00Z</dcterms:created>
  <dcterms:modified xsi:type="dcterms:W3CDTF">2024-08-19T07:06:00Z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3a104e-2916-42dc-a2f6-6210338509ed_Enabled">
    <vt:lpwstr>true</vt:lpwstr>
  </property>
  <property fmtid="{D5CDD505-2E9C-101B-9397-08002B2CF9AE}" pid="3" name="MSIP_Label_2b3a104e-2916-42dc-a2f6-6210338509ed_SetDate">
    <vt:lpwstr>2022-06-13T07:50:24Z</vt:lpwstr>
  </property>
  <property fmtid="{D5CDD505-2E9C-101B-9397-08002B2CF9AE}" pid="4" name="MSIP_Label_2b3a104e-2916-42dc-a2f6-6210338509ed_Method">
    <vt:lpwstr>Standard</vt:lpwstr>
  </property>
  <property fmtid="{D5CDD505-2E9C-101B-9397-08002B2CF9AE}" pid="5" name="MSIP_Label_2b3a104e-2916-42dc-a2f6-6210338509ed_Name">
    <vt:lpwstr>2b3a104e-2916-42dc-a2f6-6210338509ed</vt:lpwstr>
  </property>
  <property fmtid="{D5CDD505-2E9C-101B-9397-08002B2CF9AE}" pid="6" name="MSIP_Label_2b3a104e-2916-42dc-a2f6-6210338509ed_SiteId">
    <vt:lpwstr>e70aafb3-2e89-46a5-ba50-66803e8a4411</vt:lpwstr>
  </property>
  <property fmtid="{D5CDD505-2E9C-101B-9397-08002B2CF9AE}" pid="7" name="MSIP_Label_2b3a104e-2916-42dc-a2f6-6210338509ed_ActionId">
    <vt:lpwstr>87e722f6-8a85-4d74-9307-d8e67f666506</vt:lpwstr>
  </property>
  <property fmtid="{D5CDD505-2E9C-101B-9397-08002B2CF9AE}" pid="8" name="MSIP_Label_2b3a104e-2916-42dc-a2f6-6210338509ed_ContentBits">
    <vt:lpwstr>1</vt:lpwstr>
  </property>
</Properties>
</file>