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B187" w14:textId="77777777" w:rsidR="00DF6646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4219E76" wp14:editId="18C8BF48">
            <wp:simplePos x="0" y="0"/>
            <wp:positionH relativeFrom="column">
              <wp:posOffset>4447</wp:posOffset>
            </wp:positionH>
            <wp:positionV relativeFrom="paragraph">
              <wp:posOffset>2</wp:posOffset>
            </wp:positionV>
            <wp:extent cx="1616710" cy="377825"/>
            <wp:effectExtent l="0" t="0" r="0" b="0"/>
            <wp:wrapSquare wrapText="bothSides" distT="114300" distB="114300" distL="114300" distR="114300"/>
            <wp:docPr id="6644114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9D4C9A" w14:textId="77777777" w:rsidR="00DF6646" w:rsidRDefault="00DF6646">
      <w:pPr>
        <w:spacing w:line="276" w:lineRule="auto"/>
        <w:jc w:val="both"/>
        <w:rPr>
          <w:rFonts w:ascii="Aptos" w:eastAsia="Aptos" w:hAnsi="Aptos" w:cs="Aptos"/>
        </w:rPr>
      </w:pPr>
    </w:p>
    <w:p w14:paraId="18909181" w14:textId="77777777" w:rsidR="00DF6646" w:rsidRDefault="00000000">
      <w:pPr>
        <w:spacing w:line="240" w:lineRule="auto"/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Tisková zpráva</w:t>
      </w:r>
    </w:p>
    <w:p w14:paraId="7D2AC85E" w14:textId="0C7CD6A2" w:rsidR="00DF6646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Česko je ekonomickým lídrem mezi postkomunistickými zeměmi EU. Před Polskem vítězí i</w:t>
      </w:r>
      <w:r w:rsidR="00E278AF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přes nižší přidanou hodnotu</w:t>
      </w:r>
    </w:p>
    <w:p w14:paraId="6D55BB6D" w14:textId="77777777" w:rsidR="00DF6646" w:rsidRDefault="00000000">
      <w:pPr>
        <w:jc w:val="both"/>
        <w:rPr>
          <w:b/>
          <w:bCs/>
        </w:rPr>
      </w:pPr>
      <w:r>
        <w:rPr>
          <w:b/>
          <w:bCs/>
        </w:rPr>
        <w:t xml:space="preserve">Česká ekonomika obsadila v pátém ročníku Indexu prosperity a finančního zdraví 8. místo, což je její dosud nejlepší výsledek v pilíři Stav ekonomiky. Vyniká komplexní strukturou, vysokou mírou robotizace i relativně nízkým zadlužením navzdory rozsáhlým investicím. Přesto se ukazuje slabší stránka – nízký podíl domácí přidané hodnoty na vývozu, který omezuje celkový přínos exportu pro tuzemskou ekonomiku. </w:t>
      </w:r>
    </w:p>
    <w:p w14:paraId="0D04396A" w14:textId="77777777" w:rsidR="00DF6646" w:rsidRPr="00F83365" w:rsidRDefault="00000000">
      <w:pPr>
        <w:jc w:val="both"/>
        <w:rPr>
          <w:b/>
          <w:bCs/>
          <w:sz w:val="24"/>
          <w:szCs w:val="24"/>
        </w:rPr>
      </w:pPr>
      <w:r w:rsidRPr="00F83365">
        <w:rPr>
          <w:b/>
          <w:bCs/>
          <w:sz w:val="24"/>
          <w:szCs w:val="24"/>
        </w:rPr>
        <w:t>Dlouhodobě se daří Švédům, Němcům a Dánům</w:t>
      </w:r>
    </w:p>
    <w:p w14:paraId="761B51E0" w14:textId="77777777" w:rsidR="00DF6646" w:rsidRDefault="00000000">
      <w:pPr>
        <w:jc w:val="both"/>
      </w:pPr>
      <w:r>
        <w:t xml:space="preserve">Postavení Česka v Indexu prosperity prošlo v posledních letech výraznými výkyvy. Po 9. místě v roce 2022 následoval propad na 12. a poté 14. příčku, který způsobila především inflační vlna po ruské invazi na Ukrajinu. Už loni se ale Česká republika vrátila na 9. místo a letos svůj vzestupný trend opět potvrdila. Nutno podotknout, že Index pracuje s nejnovějšími dostupnými daty a ekonomické ukazatele se do reálného stavu propisují často až s dvouletým zpožděním. </w:t>
      </w:r>
    </w:p>
    <w:p w14:paraId="1120EB53" w14:textId="77777777" w:rsidR="00DF6646" w:rsidRDefault="00000000">
      <w:pPr>
        <w:jc w:val="both"/>
      </w:pPr>
      <w:r>
        <w:t>Na prvních třech příčkách Indexu se konzistentně drží Švédsko, Německo a Dánsko. Mezi postkomunistickými zeměmi v EU má ale dlouhodobě nejlepší výsledky Česko a Slovinsko.</w:t>
      </w:r>
    </w:p>
    <w:p w14:paraId="36F086D3" w14:textId="77777777" w:rsidR="00DF6646" w:rsidRDefault="00DF6646">
      <w:pPr>
        <w:jc w:val="both"/>
        <w:rPr>
          <w:b/>
          <w:bCs/>
        </w:rPr>
      </w:pPr>
      <w:hyperlink r:id="rId8">
        <w:r>
          <w:rPr>
            <w:b/>
            <w:bCs/>
            <w:color w:val="0563C1"/>
            <w:u w:val="single"/>
          </w:rPr>
          <w:t>Interaktivní infografiku ke Stavu ekonomiky naleznete na tomto odkazu.</w:t>
        </w:r>
      </w:hyperlink>
    </w:p>
    <w:p w14:paraId="447124EB" w14:textId="77777777" w:rsidR="00DF6646" w:rsidRDefault="00000000">
      <w:pPr>
        <w:jc w:val="both"/>
      </w:pPr>
      <w:r>
        <w:rPr>
          <w:noProof/>
        </w:rPr>
        <w:drawing>
          <wp:inline distT="0" distB="0" distL="0" distR="0" wp14:anchorId="685ED949" wp14:editId="19C2C533">
            <wp:extent cx="6645910" cy="3239135"/>
            <wp:effectExtent l="0" t="0" r="0" b="0"/>
            <wp:docPr id="664411493" name="image2.png" descr="Obrázok, na ktorom je text, snímka obrazovky, mapa&#10;&#10;Obsah vygenerovaný pomocou AI môže byť nesprávn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brázok, na ktorom je text, snímka obrazovky, mapa&#10;&#10;Obsah vygenerovaný pomocou AI môže byť nesprávny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39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A22429" w14:textId="77777777" w:rsidR="00DF6646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Česko robotizuje a investuje, i tak vede v přidané hodnotě Polsko </w:t>
      </w:r>
    </w:p>
    <w:p w14:paraId="3E521C1A" w14:textId="014BA297" w:rsidR="00DF6646" w:rsidRDefault="00000000">
      <w:pPr>
        <w:jc w:val="both"/>
      </w:pPr>
      <w:r>
        <w:rPr>
          <w:i/>
          <w:iCs/>
        </w:rPr>
        <w:t xml:space="preserve">„Namísto Slovinska se však v Česku mnohem raději srovnáváme s Polskem. Je to logické, naše ekonomiky mají podobné podíly sektorů průmyslu a služeb na HDP. Celkový obraz ale zkreslují časté </w:t>
      </w:r>
      <w:hyperlink r:id="rId10">
        <w:r w:rsidR="00DF6646">
          <w:rPr>
            <w:i/>
            <w:iCs/>
            <w:color w:val="1155CC"/>
            <w:u w:val="single"/>
          </w:rPr>
          <w:t>titulky</w:t>
        </w:r>
      </w:hyperlink>
      <w:r>
        <w:rPr>
          <w:i/>
          <w:iCs/>
        </w:rPr>
        <w:t xml:space="preserve"> o rychlé výstavbě polských dálnic. Z těch se může zdát, že nás Polsko předhání. Srovnání české a polské ekonomiky v našem Indexu naopak ukazuje, že</w:t>
      </w:r>
      <w:r w:rsidR="00E278AF">
        <w:rPr>
          <w:i/>
          <w:iCs/>
        </w:rPr>
        <w:t> </w:t>
      </w:r>
      <w:r>
        <w:rPr>
          <w:i/>
          <w:iCs/>
        </w:rPr>
        <w:t>k</w:t>
      </w:r>
      <w:r w:rsidR="00E278AF">
        <w:rPr>
          <w:i/>
          <w:iCs/>
        </w:rPr>
        <w:t> </w:t>
      </w:r>
      <w:r>
        <w:rPr>
          <w:i/>
          <w:iCs/>
        </w:rPr>
        <w:t>tomu v tento moment nedochází,“</w:t>
      </w:r>
      <w:r>
        <w:t xml:space="preserve"> komentuje analytik Evropy v datech Adam Trunečka.</w:t>
      </w:r>
    </w:p>
    <w:p w14:paraId="6F0CD7CD" w14:textId="6ED63F60" w:rsidR="00DF6646" w:rsidRDefault="00000000">
      <w:pPr>
        <w:jc w:val="both"/>
      </w:pPr>
      <w:r>
        <w:t xml:space="preserve">Polská ekonomika se dosud vždy umístila na 25. či 26. místě. Výrazný náskok má Česko především v robotizaci (216 robotů na 10 000 českých zaměstnanců ve zpracovatelském průmyslu oproti 81 v Polsku), míře investic vůči HDP </w:t>
      </w:r>
      <w:r>
        <w:lastRenderedPageBreak/>
        <w:t>(26,5 % oproti 17 %) či HDP na obyvatele (české HDP odpovídá 91 % průměru EU, polské pouze 78 %). Na rozdíl od</w:t>
      </w:r>
      <w:r w:rsidR="00E278AF">
        <w:t> </w:t>
      </w:r>
      <w:r>
        <w:t>Polska patří Česko k nejkomplexnějším ekonomikám v EU. Díky čemuž je odolnější vůči negativním externím šokům.</w:t>
      </w:r>
    </w:p>
    <w:p w14:paraId="5ABFC2D1" w14:textId="77777777" w:rsidR="00DF6646" w:rsidRDefault="00DF6646">
      <w:pPr>
        <w:jc w:val="both"/>
        <w:rPr>
          <w:b/>
          <w:bCs/>
        </w:rPr>
      </w:pPr>
      <w:hyperlink r:id="rId11">
        <w:r>
          <w:rPr>
            <w:b/>
            <w:bCs/>
            <w:color w:val="0563C1"/>
            <w:u w:val="single"/>
          </w:rPr>
          <w:t>Interaktivní infografiku k hodnotám indikátorů naleznete na tomto odkazu.</w:t>
        </w:r>
      </w:hyperlink>
      <w:r w:rsidR="00000000">
        <w:rPr>
          <w:b/>
          <w:bCs/>
        </w:rPr>
        <w:t xml:space="preserve"> </w:t>
      </w:r>
    </w:p>
    <w:p w14:paraId="09A1A2C5" w14:textId="77777777" w:rsidR="00DF6646" w:rsidRDefault="00000000">
      <w:pPr>
        <w:jc w:val="both"/>
      </w:pPr>
      <w:r>
        <w:t xml:space="preserve">Pokud jde však o podíl přidané hodnoty na vývozu, navrch má Polsko. S podílem 66,7 % mu patří 11. místo, zatímco Česko s 58,2 % skončilo sedmé od konce. Polská ekonomika tak dokáže do finální ceny exportovaných výrobků promítnout vyšší domácí přínos než česká. </w:t>
      </w:r>
    </w:p>
    <w:p w14:paraId="18EE270D" w14:textId="77777777" w:rsidR="00DF6646" w:rsidRDefault="00000000">
      <w:pPr>
        <w:jc w:val="both"/>
      </w:pPr>
      <w:r>
        <w:rPr>
          <w:i/>
          <w:iCs/>
        </w:rPr>
        <w:t xml:space="preserve">„Česko se chytilo do pasti subdodavatelského modelu. Jsme sice velmi dobří ve výrobě komponentů, máme vysoký podíl </w:t>
      </w:r>
      <w:proofErr w:type="spellStart"/>
      <w:r>
        <w:rPr>
          <w:i/>
          <w:iCs/>
        </w:rPr>
        <w:t>hi</w:t>
      </w:r>
      <w:proofErr w:type="spellEnd"/>
      <w:r>
        <w:rPr>
          <w:i/>
          <w:iCs/>
        </w:rPr>
        <w:t>-tech vývozů, ale finální marži, značku a duševní vlastnictví drží někdo jiný. Polsko má výhodu většího vnitřního trhu, který přirozeně generuje více finálních producentů, ale i silnějšího kapitálového trhu, který umožňuje budovat vlastní kapitál a značky,“</w:t>
      </w:r>
      <w:r>
        <w:t xml:space="preserve"> vysvětluje David Navrátil, hlavní ekonom České spořitelny.</w:t>
      </w:r>
    </w:p>
    <w:p w14:paraId="035CDC24" w14:textId="77777777" w:rsidR="00DF6646" w:rsidRDefault="00DF6646">
      <w:pPr>
        <w:jc w:val="both"/>
        <w:rPr>
          <w:b/>
          <w:bCs/>
        </w:rPr>
      </w:pPr>
      <w:hyperlink r:id="rId12">
        <w:r>
          <w:rPr>
            <w:b/>
            <w:bCs/>
            <w:color w:val="0563C1"/>
            <w:u w:val="single"/>
          </w:rPr>
          <w:t>Interaktivní infografiku k rozpadu indikátorů naleznete na tomto odkazu.</w:t>
        </w:r>
      </w:hyperlink>
    </w:p>
    <w:p w14:paraId="1C761052" w14:textId="77777777" w:rsidR="00DF6646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Investujeme hodně, což nemusí znamenat, že správně</w:t>
      </w:r>
    </w:p>
    <w:p w14:paraId="785CD8F3" w14:textId="33AF7C91" w:rsidR="00DF6646" w:rsidRDefault="00000000">
      <w:pPr>
        <w:spacing w:before="240" w:after="240"/>
        <w:jc w:val="both"/>
        <w:rPr>
          <w:i/>
          <w:iCs/>
        </w:rPr>
      </w:pPr>
      <w:r>
        <w:t xml:space="preserve">V ukazatelích přidané hodnoty se Česko napříč ročníky stabilně pohybuje pod dvacátým místem. Nelze přitom tvrdit, že by domácí ekonomika trpěla nedostatkem investic – právě naopak. Podíl investic na HDP, soukromých i veřejných, patří dlouhodobě k nejvyšším v EU a v posledním období dosahuje mimořádně vysokých hodnot. Analytička České spořitelny Tereza </w:t>
      </w:r>
      <w:proofErr w:type="spellStart"/>
      <w:r>
        <w:t>Hrtúsová</w:t>
      </w:r>
      <w:proofErr w:type="spellEnd"/>
      <w:r>
        <w:t xml:space="preserve"> ale upozorňuje, že v Česku investice nemíří správným směrem: </w:t>
      </w:r>
      <w:r>
        <w:rPr>
          <w:i/>
          <w:iCs/>
        </w:rPr>
        <w:t>„Pro Česko je typický vysoký podíl investic do strojů a zařízení (36 %). Dánsko a Švédsko mají oproti ČR naopak výrazně vyšší podíl investic do</w:t>
      </w:r>
      <w:r w:rsidR="00E278AF">
        <w:rPr>
          <w:i/>
          <w:iCs/>
        </w:rPr>
        <w:t> </w:t>
      </w:r>
      <w:r>
        <w:rPr>
          <w:i/>
          <w:iCs/>
        </w:rPr>
        <w:t xml:space="preserve">nehmotného majetku typu patentů, ochranných známek či softwaru.“ </w:t>
      </w:r>
    </w:p>
    <w:p w14:paraId="1CFBE734" w14:textId="77777777" w:rsidR="00DF6646" w:rsidRDefault="00000000">
      <w:pPr>
        <w:spacing w:before="240" w:after="240"/>
        <w:jc w:val="both"/>
      </w:pPr>
      <w:r>
        <w:rPr>
          <w:i/>
          <w:iCs/>
        </w:rPr>
        <w:t>„My v podstatě kupujeme rychlejší běžící pásy, zatímco vítězové dneška investují do toho, co se na těch pásech bude vyrábět za deset let,“</w:t>
      </w:r>
      <w:r>
        <w:t xml:space="preserve"> dodává Navrátil.</w:t>
      </w:r>
    </w:p>
    <w:p w14:paraId="06E1725D" w14:textId="77777777" w:rsidR="00DF6646" w:rsidRPr="00F83365" w:rsidRDefault="00000000">
      <w:pPr>
        <w:spacing w:before="240" w:after="240"/>
        <w:jc w:val="both"/>
        <w:rPr>
          <w:b/>
          <w:bCs/>
          <w:sz w:val="24"/>
          <w:szCs w:val="24"/>
        </w:rPr>
      </w:pPr>
      <w:r w:rsidRPr="00F83365">
        <w:rPr>
          <w:b/>
          <w:bCs/>
          <w:sz w:val="24"/>
          <w:szCs w:val="24"/>
        </w:rPr>
        <w:t>Ekonomika dospívá. Model zahraničních investic se mění</w:t>
      </w:r>
    </w:p>
    <w:p w14:paraId="11ECFD4E" w14:textId="77777777" w:rsidR="00DF6646" w:rsidRDefault="00000000">
      <w:pPr>
        <w:jc w:val="both"/>
        <w:rPr>
          <w:i/>
          <w:iCs/>
        </w:rPr>
      </w:pPr>
      <w:r>
        <w:t xml:space="preserve">Od ročníku 2022 můžeme pozorovat i proměnu u zahraničních investic. Česko se sice celou dobu drží zhruba v průměru EU – mezi 13. a 15. místem. I tak ale stav přímých zahraničních investic v poměru k HDP v Česku za tu dobu klesl ze 101,5 % na 86,7 %. Tato metrika zahrnuje jak zahraniční vlastnictví a investice v Česku, tak české v zahraničí. Zatímco podíl českých investic v cizině se pohybuje kolem 20 %, opačný směr – tedy zahraniční kapitál v tuzemsku – za poslední roky oslabil z 78,2 % na 64,6 %. Podle </w:t>
      </w:r>
      <w:proofErr w:type="spellStart"/>
      <w:r>
        <w:t>Hrtúsové</w:t>
      </w:r>
      <w:proofErr w:type="spellEnd"/>
      <w:r>
        <w:t xml:space="preserve"> to je známka dospívání české domácí ekonomiky.</w:t>
      </w:r>
      <w:r>
        <w:rPr>
          <w:i/>
          <w:iCs/>
        </w:rPr>
        <w:t xml:space="preserve"> „Se svižným růstem mezd, velmi nízkou nezaměstnaností a drahými energiemi přestáváme být cílovou zemí pro jednoduchou výrobu.“</w:t>
      </w:r>
    </w:p>
    <w:p w14:paraId="4BBE508F" w14:textId="3CE2016F" w:rsidR="00DF6646" w:rsidRDefault="00000000">
      <w:pPr>
        <w:jc w:val="both"/>
        <w:rPr>
          <w:i/>
          <w:iCs/>
        </w:rPr>
      </w:pPr>
      <w:r>
        <w:t xml:space="preserve">Na jednu stranu tedy Česko bojuje s nízkou přidanou hodnotou, na stranu druhou přestala naše ekonomika lákat zahraniční kapitál, protože už nějakou přidanou hodnotu má. Podle majitele společnosti </w:t>
      </w:r>
      <w:proofErr w:type="spellStart"/>
      <w:r>
        <w:t>Eurowag</w:t>
      </w:r>
      <w:proofErr w:type="spellEnd"/>
      <w:r>
        <w:t xml:space="preserve"> a ambasadora 2.</w:t>
      </w:r>
      <w:r w:rsidR="00E278AF">
        <w:t> </w:t>
      </w:r>
      <w:r>
        <w:t xml:space="preserve">ekonomické transformace Martina </w:t>
      </w:r>
      <w:proofErr w:type="spellStart"/>
      <w:r>
        <w:t>Vohánky</w:t>
      </w:r>
      <w:proofErr w:type="spellEnd"/>
      <w:r>
        <w:t xml:space="preserve">, je zásadní, aby český byznys i stát změnili své investiční strategie. </w:t>
      </w:r>
      <w:r>
        <w:rPr>
          <w:i/>
          <w:iCs/>
        </w:rPr>
        <w:t>„To</w:t>
      </w:r>
      <w:r w:rsidR="00E278AF">
        <w:rPr>
          <w:i/>
          <w:iCs/>
        </w:rPr>
        <w:t> </w:t>
      </w:r>
      <w:r>
        <w:rPr>
          <w:i/>
          <w:iCs/>
        </w:rPr>
        <w:t xml:space="preserve">je podstatou programu 2. ekonomické transformace – zvýšit podíl firem se sofistikovanou produkcí namísto klasických montoven. Jde o společnosti, které v Česku vyvíjejí vlastní produkty a služby a prodávají je do světa pod vlastní značkou.“ </w:t>
      </w:r>
    </w:p>
    <w:p w14:paraId="313EE5CD" w14:textId="6E4AA11D" w:rsidR="00DF6646" w:rsidRDefault="00000000">
      <w:pPr>
        <w:spacing w:before="240" w:after="240"/>
        <w:jc w:val="both"/>
      </w:pPr>
      <w:r>
        <w:t xml:space="preserve">Podle </w:t>
      </w:r>
      <w:proofErr w:type="spellStart"/>
      <w:r>
        <w:t>Vohánky</w:t>
      </w:r>
      <w:proofErr w:type="spellEnd"/>
      <w:r>
        <w:t xml:space="preserve"> stojí vyšší přidaná hodnota na kombinaci talentu, inovací, kapitálu a kvalitní regulace; roli hraje i silná značka země. </w:t>
      </w:r>
      <w:r>
        <w:rPr>
          <w:i/>
          <w:iCs/>
        </w:rPr>
        <w:t>„První faktor je ale zásadní. V počtu vysokoškoláků jsme dnes v rámci EU na chvostu a naše nejlépe hodnocená univerzita se pohybuje kolem 300. místa ve světových žebříčcích,“</w:t>
      </w:r>
      <w:r>
        <w:t xml:space="preserve"> dodává.</w:t>
      </w:r>
    </w:p>
    <w:p w14:paraId="664AE2E3" w14:textId="4F9D57CA" w:rsidR="00DF6646" w:rsidRPr="00E278AF" w:rsidRDefault="00000000" w:rsidP="00E278AF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Více o Indexu prosperity a finančního zdraví na </w:t>
      </w:r>
      <w:hyperlink r:id="rId13">
        <w:r w:rsidR="00DF6646">
          <w:rPr>
            <w:rFonts w:ascii="Aptos" w:eastAsia="Aptos" w:hAnsi="Aptos" w:cs="Aptos"/>
            <w:color w:val="1155CC"/>
            <w:u w:val="single"/>
          </w:rPr>
          <w:t>Indexprosperity.cz</w:t>
        </w:r>
      </w:hyperlink>
      <w:r>
        <w:rPr>
          <w:rFonts w:ascii="Aptos" w:eastAsia="Aptos" w:hAnsi="Aptos" w:cs="Aptos"/>
        </w:rPr>
        <w:t>.</w:t>
      </w:r>
    </w:p>
    <w:p w14:paraId="61EF1047" w14:textId="77777777" w:rsidR="00DF6646" w:rsidRDefault="00000000">
      <w:pPr>
        <w:spacing w:after="0" w:line="276" w:lineRule="auto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Kontakt pro média:</w:t>
      </w:r>
    </w:p>
    <w:p w14:paraId="2B5070A0" w14:textId="77777777" w:rsidR="00DF664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Adéla Veselá</w:t>
      </w:r>
    </w:p>
    <w:p w14:paraId="47FD7521" w14:textId="77777777" w:rsidR="00DF664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0563C1"/>
          <w:u w:val="single"/>
        </w:rPr>
        <w:t>adela.vesela@dfmg.cz</w:t>
      </w:r>
    </w:p>
    <w:p w14:paraId="61834602" w14:textId="77777777" w:rsidR="00DF664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Tel.: +420 722 193 819</w:t>
      </w:r>
    </w:p>
    <w:sectPr w:rsidR="00DF6646">
      <w:footerReference w:type="default" r:id="rId14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9145" w14:textId="77777777" w:rsidR="00223451" w:rsidRDefault="00223451">
      <w:pPr>
        <w:spacing w:after="0" w:line="240" w:lineRule="auto"/>
      </w:pPr>
      <w:r>
        <w:separator/>
      </w:r>
    </w:p>
  </w:endnote>
  <w:endnote w:type="continuationSeparator" w:id="0">
    <w:p w14:paraId="2B145024" w14:textId="77777777" w:rsidR="00223451" w:rsidRDefault="0022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8152D7-B681-4199-9F3C-3EC4AD663898}"/>
    <w:embedBold r:id="rId2" w:fontKey="{B3F0513D-9CD9-4047-AE13-85F7B4EA754F}"/>
    <w:embedItalic r:id="rId3" w:fontKey="{951376A1-87C4-400C-8E0C-F3D58E00E8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B2921E6-786D-41EE-AB80-73FA06F975E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6B8A2B5F-00DF-4E20-BE31-C6996B351602}"/>
    <w:embedBold r:id="rId6" w:fontKey="{B02D2262-A244-4604-888C-910059626EA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7E343CA-3984-4263-AB3D-DF5A83E2EF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4FD3" w14:textId="77777777" w:rsidR="00DF6646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099CE881" wp14:editId="63905C1A">
          <wp:simplePos x="0" y="0"/>
          <wp:positionH relativeFrom="column">
            <wp:posOffset>-438147</wp:posOffset>
          </wp:positionH>
          <wp:positionV relativeFrom="paragraph">
            <wp:posOffset>514984</wp:posOffset>
          </wp:positionV>
          <wp:extent cx="7509510" cy="132080"/>
          <wp:effectExtent l="0" t="0" r="0" b="0"/>
          <wp:wrapTopAndBottom distT="0" distB="0"/>
          <wp:docPr id="66441149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0094" r="19202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19684" w14:textId="77777777" w:rsidR="00223451" w:rsidRDefault="00223451">
      <w:pPr>
        <w:spacing w:after="0" w:line="240" w:lineRule="auto"/>
      </w:pPr>
      <w:r>
        <w:separator/>
      </w:r>
    </w:p>
  </w:footnote>
  <w:footnote w:type="continuationSeparator" w:id="0">
    <w:p w14:paraId="1F9AEA10" w14:textId="77777777" w:rsidR="00223451" w:rsidRDefault="00223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46"/>
    <w:rsid w:val="00223451"/>
    <w:rsid w:val="004B1DB5"/>
    <w:rsid w:val="00A95618"/>
    <w:rsid w:val="00BA73E7"/>
    <w:rsid w:val="00DF6646"/>
    <w:rsid w:val="00E278AF"/>
    <w:rsid w:val="00F8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CD04"/>
  <w15:docId w15:val="{7205FCBF-0D6E-4678-B43F-37C23A2E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B55E4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55E49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F0141"/>
    <w:pPr>
      <w:spacing w:after="0" w:line="240" w:lineRule="auto"/>
    </w:pPr>
  </w:style>
  <w:style w:type="paragraph" w:styleId="Textkomentra">
    <w:name w:val="annotation text"/>
    <w:link w:val="TextkomentraChar"/>
    <w:uiPriority w:val="99"/>
    <w:semiHidden/>
    <w:unhideWhenUsed/>
    <w:rsid w:val="00644388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4388"/>
    <w:rPr>
      <w:rFonts w:ascii="Arial" w:eastAsia="Arial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644388"/>
    <w:rPr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4388"/>
    <w:rPr>
      <w:color w:val="954F72" w:themeColor="followedHyperlink"/>
      <w:u w:val="single"/>
    </w:rPr>
  </w:style>
  <w:style w:type="paragraph" w:styleId="Hlavika">
    <w:name w:val="header"/>
    <w:link w:val="HlavikaChar"/>
    <w:uiPriority w:val="99"/>
    <w:unhideWhenUsed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7D33"/>
  </w:style>
  <w:style w:type="paragraph" w:styleId="Pta">
    <w:name w:val="footer"/>
    <w:link w:val="PtaChar"/>
    <w:uiPriority w:val="99"/>
    <w:unhideWhenUsed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7D3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1D4E"/>
    <w:pPr>
      <w:spacing w:after="160"/>
    </w:pPr>
    <w:rPr>
      <w:rFonts w:ascii="Calibri" w:eastAsia="Calibri" w:hAnsi="Calibri" w:cs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1D4E"/>
    <w:rPr>
      <w:rFonts w:ascii="Arial" w:eastAsia="Arial" w:hAnsi="Arial" w:cs="Arial"/>
      <w:b/>
      <w:bCs/>
      <w:sz w:val="20"/>
      <w:szCs w:val="20"/>
    </w:rPr>
  </w:style>
  <w:style w:type="paragraph" w:styleId="Normlnywebov">
    <w:name w:val="Normal (Web)"/>
    <w:uiPriority w:val="99"/>
    <w:unhideWhenUsed/>
    <w:rsid w:val="00A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tableau.com/app/profile/dark.side/viz/EvD_2026_Indexprosperity_1_Ekonomika/Dashboard_Ekonomika" TargetMode="External"/><Relationship Id="rId13" Type="http://schemas.openxmlformats.org/officeDocument/2006/relationships/hyperlink" Target="http://www.indexprosperity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ublic.tableau.com/app/profile/dark.side/viz/EvD_2026_Indexprosperity_1_Ekonomika/Dashboard_Ekonomikarozpa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ublic.tableau.com/app/profile/dark.side/viz/EvD_2026_Indexprosperity_1_Ekonomika/Dashboard_Ekonomikahodnot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eznamzpravy.cz/clanek/domaci-politika-pravda-o-dalnicich-cesko-stavi-prumerne-20-kilometru-rocne-polsko-280-1850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I26U6112LT6fDLIXoB5e38UIIw==">CgMxLjA4AGomChRzdWdnZXN0LjVpM3p2MTN5ZDJ2MhIOQWRhbSBUcnVuZcSNa2FqJgoUc3VnZ2VzdC5lamh1MDBmaDJqNXMSDkFkYW0gVHJ1bmXEjWthaiYKFHN1Z2dlc3QuNnZ1ZzdzMWI3cGlqEg5BZGFtIFRydW5lxI1rYWopChRzdWdnZXN0LmJqNm11cmx2azZmYhIRVG9tw6HFoSBPZHN0csSNaWxqJgoUc3VnZ2VzdC5obTZvejg0YTNwcjYSDkFkYW0gVHJ1bmXEjWthaiUKE3N1Z2dlc3Quam9hc24xencyeGoSDkFkYW0gVHJ1bmXEjWthaiYKFHN1Z2dlc3QubW52dGhpNmpzZXRyEg5BZGFtIFRydW5lxI1rYWomChRzdWdnZXN0LnR4cWVrYXhpdDRhcBIOQWRhbSBUcnVuZcSNa2FyITExSk9FSlpuNkdRZjdPUFZQS1lZZEl4Wno5S3Y5VVp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Bakešová</dc:creator>
  <cp:lastModifiedBy>Karolína Lettrichová</cp:lastModifiedBy>
  <cp:revision>4</cp:revision>
  <dcterms:created xsi:type="dcterms:W3CDTF">2026-02-24T13:11:00Z</dcterms:created>
  <dcterms:modified xsi:type="dcterms:W3CDTF">2026-02-25T09:25:00Z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