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leu1lzfrlrg4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4448</wp:posOffset>
            </wp:positionH>
            <wp:positionV relativeFrom="paragraph">
              <wp:posOffset>3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 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Česko v EU posílilo. Posunulo se na 14. místo, lepšímu výsledku brání úroveň bydlení a digitalizace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Praha, 1. června 2026 –</w:t>
      </w:r>
      <w:r w:rsidDel="00000000" w:rsidR="00000000" w:rsidRPr="00000000">
        <w:rPr>
          <w:b w:val="1"/>
          <w:bCs w:val="1"/>
          <w:rtl w:val="0"/>
        </w:rPr>
        <w:t xml:space="preserve"> Pozice České republiky v EU sílí. Podle nejnovějšího vyhodnocení Indexu prosperity a finančního zdraví se Česko posunulo v unijním srovnání ze 16. na 14. místo. Lépe si vedlo pouze v prvním ročníku měření v roce 2022. Za zlepšením stojí především stabilizace ekonomiky a silná pozice v oblasti zdraví a bezpečnosti. Data zároveň ukazují, že začínáme narážet na dlouhodobé strukturální limity, mezi které patří (ne)dostupnost bydlení, digitalizace nebo nižší přidaná hodnota ekonomiky.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V nejnovějším souhrnném srovnání Indexu prosperity se Česko umístilo na 14. příčce z 27 zemí EU. Jde o nejlepší výsledek od prvního ročníku Indexu z roku 2022, kdy jsme se celkově umístili na 13. místě. Nejúspěšnější bylo tradičně Švédsko a Dánsko, třetí místo letos patří Finsku. </w:t>
      </w:r>
      <w:r w:rsidDel="00000000" w:rsidR="00000000" w:rsidRPr="00000000">
        <w:rPr>
          <w:i w:val="1"/>
          <w:iCs w:val="1"/>
          <w:rtl w:val="0"/>
        </w:rPr>
        <w:t xml:space="preserve">„Nejvíce prosperující země spojuje relativně silná ekonomika a kvalita vzdělávání a výzkumu, ale jinak jsou jejich výsledky relativně odlišné. Například Nizozemsko je ve stavu životního prostředí až na 23. místě – může se ale pochlubit nejlepším pracovním trhem, nejsilnější digitalizací či dobře zvládnutým finančním zdravím,“ </w:t>
      </w:r>
      <w:r w:rsidDel="00000000" w:rsidR="00000000" w:rsidRPr="00000000">
        <w:rPr>
          <w:rtl w:val="0"/>
        </w:rPr>
        <w:t xml:space="preserve">upozorňuje Tomáš Odstrčil, analytik Evropy v datech.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Na opačném konci žebříčku meziročně nedošlo ke změnám. Poslední příčku si od prvního ročníku Indexu drží Řecko, předposlední zůstává Bulharsko a 25. místo patří Slovensku.</w:t>
      </w:r>
    </w:p>
    <w:p w:rsidR="00000000" w:rsidDel="00000000" w:rsidP="00000000" w:rsidRDefault="00000000" w:rsidRPr="00000000" w14:paraId="00000008">
      <w:pPr>
        <w:jc w:val="both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color w:val="0563c1"/>
            <w:u w:val="single"/>
            <w:rtl w:val="0"/>
          </w:rPr>
          <w:t xml:space="preserve">Interaktivní infografiku k Indexu prosperity a finančního zdraví 2025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/>
        <w:drawing>
          <wp:inline distB="0" distT="0" distL="0" distR="0">
            <wp:extent cx="6645910" cy="3129280"/>
            <wp:effectExtent b="0" l="0" r="0" t="0"/>
            <wp:docPr descr="Obsah obrázku text, snímek obrazovky, mapa&#10;&#10;Popis byl vytvořen automaticky" id="5" name="image3.png"/>
            <a:graphic>
              <a:graphicData uri="http://schemas.openxmlformats.org/drawingml/2006/picture">
                <pic:pic>
                  <pic:nvPicPr>
                    <pic:cNvPr descr="Obsah obrázku text, snímek obrazovky, mapa&#10;&#10;Popis byl vytvořen automaticky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29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Česká ekonomika se nadechuje. Zastavíme odliv kapitálu?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Návrat Česka na evropský průměr podpořil především pilíř </w:t>
      </w:r>
      <w:r w:rsidDel="00000000" w:rsidR="00000000" w:rsidRPr="00000000">
        <w:rPr>
          <w:i w:val="1"/>
          <w:iCs w:val="1"/>
          <w:rtl w:val="0"/>
        </w:rPr>
        <w:t xml:space="preserve">Stav ekonomiky</w:t>
      </w:r>
      <w:r w:rsidDel="00000000" w:rsidR="00000000" w:rsidRPr="00000000">
        <w:rPr>
          <w:rtl w:val="0"/>
        </w:rPr>
        <w:t xml:space="preserve">. Ten si oproti předchozímu roku polepšil o pět příček a Česko se díky 9. místu znovu zařadilo mezi deset ekonomicky nejstabilnějších zemí EU. K pozitivnímu vývoji přispělo především zmírnění inflačních tlaků a zvýšení podílu hrubého národního důchodu na HDP, který naznačuje, jaká část vytvořeného bohatství zůstává v domácí ekonomice. Ukazatel vzrostl z 95 % na 99 %, což zemi posunulo z 22. na 13. místo v EU. Podle expertů za tím stojí silnější český kapitál i rostoucí investiční aktivita domácích firem v zahraničí.</w:t>
      </w:r>
      <w:r w:rsidDel="00000000" w:rsidR="00000000" w:rsidRPr="00000000">
        <w:rPr>
          <w:i w:val="1"/>
          <w:iCs w:val="1"/>
          <w:rtl w:val="0"/>
        </w:rPr>
        <w:t xml:space="preserve"> „Stav investic českých firem v zahraničí dosáhl v roce 2024 74 mld. EUR. Pro srovnání, výrazně větší Polsko (populačně i ekonomicky) bylo na úrovni 48 mld. EUR,“ </w:t>
      </w:r>
      <w:r w:rsidDel="00000000" w:rsidR="00000000" w:rsidRPr="00000000">
        <w:rPr>
          <w:rtl w:val="0"/>
        </w:rPr>
        <w:t xml:space="preserve">říká David Navrátil, hlavní ekonom České spořitelny.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hyperlink r:id="rId10">
        <w:r w:rsidDel="00000000" w:rsidR="00000000" w:rsidRPr="00000000">
          <w:rPr>
            <w:b w:val="1"/>
            <w:bCs w:val="1"/>
            <w:color w:val="0563c1"/>
            <w:u w:val="single"/>
            <w:rtl w:val="0"/>
          </w:rPr>
          <w:t xml:space="preserve">Interaktivní infografiku k Pořadí v jednotlivých pilířích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Problémem je, že Česko zůstává převážně subdodavatelskou ekonomikou. Má sice velmi silný export hi-tech produktů, ale většinou se jedná o jejich montáž. Podíl hrubé přidané hodnoty na celkové produkci je 3. nejmenší v celé EU. </w:t>
      </w:r>
      <w:r w:rsidDel="00000000" w:rsidR="00000000" w:rsidRPr="00000000">
        <w:rPr>
          <w:i w:val="1"/>
          <w:iCs w:val="1"/>
          <w:rtl w:val="0"/>
        </w:rPr>
        <w:t xml:space="preserve">„Češi přitom patří k nejpracovitějším národům. Nicméně tento výkon není vidět v přidané hodnotě, v maržích a ziskovosti. Abychom situaci zlepšili, musíme využít svou silnou stránku, tedy schopnost vyrobit téměř cokoliv a v hitech kvalitě. K této dovednosti ale musíme přidat silnou digitální vrstvu,“</w:t>
      </w:r>
      <w:r w:rsidDel="00000000" w:rsidR="00000000" w:rsidRPr="00000000">
        <w:rPr>
          <w:rtl w:val="0"/>
        </w:rPr>
        <w:t xml:space="preserve"> upozorňuje David Navrátil.</w:t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Cesta k silnější ekonomice může vést skrze včasné uchopení trendu dekarbonizace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Posílení české ekonomiky bude podle expertů záviset především na schopnosti včas reagovat na globální trendy a využít domácí silné stránky. Právě na význam dekarbonizace a průmyslového potenciálu Česka upozorňuje ambasador Druhé ekonomické transformace a majitel Sentinel Capital Michal Kurka: </w:t>
      </w:r>
      <w:r w:rsidDel="00000000" w:rsidR="00000000" w:rsidRPr="00000000">
        <w:rPr>
          <w:i w:val="1"/>
          <w:iCs w:val="1"/>
          <w:rtl w:val="0"/>
        </w:rPr>
        <w:t xml:space="preserve">„Naší nejsilnější stránkou je průmyslová historie i současnost. Díky tomu patříme k top zemím, které mohou těžit z globálního megatrendu dekarbonizace. Pro úspornější procesy potřebujete nové technologie, a ty umíme vyrábět.“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Rozdíl v odměňování mužů a žen by mohla pomoci zmírnit nová legislativa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Česko se dlouhodobě drží na nejnižší úrovni nezaměstnanosti v EU (2,6 %). Tento zdánlivě skvělý výsledek je ale dvousečnou zbraní. Nízká nezaměstnanost nenutí firmy k inovacím a zavádění nových technologií.</w:t>
      </w:r>
    </w:p>
    <w:p w:rsidR="00000000" w:rsidDel="00000000" w:rsidP="00000000" w:rsidRDefault="00000000" w:rsidRPr="00000000" w14:paraId="00000012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Velkým varováním je taktéž prohlubování nerovností – rozdíl v odměňování mužů a žen (tzv. gender pay gap) totiž mírně vzrostl na 18 %, což nás řadí na 25. místo v EU. </w:t>
      </w:r>
      <w:r w:rsidDel="00000000" w:rsidR="00000000" w:rsidRPr="00000000">
        <w:rPr>
          <w:i w:val="1"/>
          <w:iCs w:val="1"/>
          <w:rtl w:val="0"/>
        </w:rPr>
        <w:t xml:space="preserve">„Jde o kombinaci několika faktorů, které se navzájem posilují,“</w:t>
      </w:r>
      <w:r w:rsidDel="00000000" w:rsidR="00000000" w:rsidRPr="00000000">
        <w:rPr>
          <w:rtl w:val="0"/>
        </w:rPr>
        <w:t xml:space="preserve"> upozorňuje Eva Primus Kovandová, prezidentka organizace Business &amp; Professional Women a vysvětluje: </w:t>
      </w:r>
      <w:r w:rsidDel="00000000" w:rsidR="00000000" w:rsidRPr="00000000">
        <w:rPr>
          <w:i w:val="1"/>
          <w:iCs w:val="1"/>
          <w:rtl w:val="0"/>
        </w:rPr>
        <w:t xml:space="preserve">„Ženy v Česku nevydělávají méně proto, že by byly hůř placené za stejnou práci, ale hlavně proto, že jsou koncentrované v oborech, které jsou systémově hůře placené. Česká ekonomika je silně průmyslová a technická. Dalším faktorem je nízké zastoupení žen ve vedení firem a v nejlépe placených manažerských pozicích.“ </w:t>
      </w:r>
      <w:r w:rsidDel="00000000" w:rsidR="00000000" w:rsidRPr="00000000">
        <w:rPr>
          <w:rtl w:val="0"/>
        </w:rPr>
        <w:t xml:space="preserve">Změnu by měla přinést nová legislativa, která zavádí větší transparentnost odměňování a která by měla vstoupit v platnost 7. června a firmy by se jí měly řídit od začátku příštího roku.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Bezpečnost v době války: silní v kyberprostoru, slabí ve zbrojení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Jedinou oblastí, kde Česko v rámci EU dominuje a obhájilo první místo, je pilíř </w:t>
      </w:r>
      <w:r w:rsidDel="00000000" w:rsidR="00000000" w:rsidRPr="00000000">
        <w:rPr>
          <w:i w:val="1"/>
          <w:iCs w:val="1"/>
          <w:rtl w:val="0"/>
        </w:rPr>
        <w:t xml:space="preserve">Rozvoj zdraví a bezpečnosti</w:t>
      </w:r>
      <w:r w:rsidDel="00000000" w:rsidR="00000000" w:rsidRPr="00000000">
        <w:rPr>
          <w:rtl w:val="0"/>
        </w:rPr>
        <w:t xml:space="preserve">. K tomuto výsledku pomohla vysoká dostupnost lékařské péče (nedostupná je pouze pro 0,5 % obyvatel) a vynikající úroveň kyberbezpečnosti. Připravenost Česka na boj s kyberzločinem potvrzuje rovněž Ondřej Kapr z Úřadu služby kriminální policie a vyšetřování. </w:t>
      </w:r>
      <w:r w:rsidDel="00000000" w:rsidR="00000000" w:rsidRPr="00000000">
        <w:rPr>
          <w:i w:val="1"/>
          <w:iCs w:val="1"/>
          <w:rtl w:val="0"/>
        </w:rPr>
        <w:t xml:space="preserve">„Při detekci a vyhodnocování nových hrozeb se nám velmi osvědčila nastavená spolupráce s bankovním sektorem, mobilními operátory a dalšími subjekty. Díky tomu dokážeme včas reagovat a především kooperovat na preventivních opatřeních, která mohou přispět k tomu, že se útok k potenciální oběti vůbec nedostane,“ </w:t>
      </w:r>
      <w:r w:rsidDel="00000000" w:rsidR="00000000" w:rsidRPr="00000000">
        <w:rPr>
          <w:rtl w:val="0"/>
        </w:rPr>
        <w:t xml:space="preserve">vysvětluje.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Přes zlepšující se připravenost však kyberkriminalita v Česku postupně roste. </w:t>
      </w:r>
      <w:r w:rsidDel="00000000" w:rsidR="00000000" w:rsidRPr="00000000">
        <w:rPr>
          <w:i w:val="1"/>
          <w:iCs w:val="1"/>
          <w:rtl w:val="0"/>
        </w:rPr>
        <w:t xml:space="preserve">„Kriminalita páchaná v kyberprostoru v současnosti tvoří 13,7 % celkového nápadu kriminality. Největší skokový nárůst nastal zejména mezi lety 2021 a 2022,“ </w:t>
      </w:r>
      <w:r w:rsidDel="00000000" w:rsidR="00000000" w:rsidRPr="00000000">
        <w:rPr>
          <w:rtl w:val="0"/>
        </w:rPr>
        <w:t xml:space="preserve">vyčísluje Kapr a doplňuje, že za nárůstem stojí především rozsáhlé útoky organizovaných skupin, které se neustále zdokonalují.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V oblasti obrany patří Česku v rámci EU 16. místo. Podle dat </w:t>
      </w:r>
      <w:hyperlink r:id="rId11">
        <w:r w:rsidDel="00000000" w:rsidR="00000000" w:rsidRPr="00000000">
          <w:rPr>
            <w:color w:val="0563c1"/>
            <w:u w:val="single"/>
            <w:rtl w:val="0"/>
          </w:rPr>
          <w:t xml:space="preserve">Eurostatu</w:t>
        </w:r>
      </w:hyperlink>
      <w:r w:rsidDel="00000000" w:rsidR="00000000" w:rsidRPr="00000000">
        <w:rPr>
          <w:rtl w:val="0"/>
        </w:rPr>
        <w:t xml:space="preserve"> za rok 2023 směřovalo na obranu 1,2 % HDP. Přestože Česko deklaruje snahu výdaje navyšovat, podle expertů zůstává výzvou také připravenost obyvatel na krizové situace. Češi přitom vyšší výdaje na obranu spíše podporují. Potvrzují to i data analytického ústavu STEM. </w:t>
      </w:r>
      <w:r w:rsidDel="00000000" w:rsidR="00000000" w:rsidRPr="00000000">
        <w:rPr>
          <w:i w:val="1"/>
          <w:iCs w:val="1"/>
          <w:rtl w:val="0"/>
        </w:rPr>
        <w:t xml:space="preserve">„Největší podíl populace, konkrétně 27 %, by preferoval, abychom se dostali na průměr Aliance, což je aktuálně 2,8 % HDP. Dalších 17 % by si přálo výraznější nárůst s ohledem na bezpečnostní situaci a to, kolik let jsme obranu v jejich očích zanedbávali,“</w:t>
      </w:r>
      <w:r w:rsidDel="00000000" w:rsidR="00000000" w:rsidRPr="00000000">
        <w:rPr>
          <w:rtl w:val="0"/>
        </w:rPr>
        <w:t xml:space="preserve"> říká Jiří Táborský ze STEM.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Nedostupnost bydlení brání Čechům bydlet podle jejich přání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Nejkritičtější oblastí zůstává </w:t>
      </w:r>
      <w:r w:rsidDel="00000000" w:rsidR="00000000" w:rsidRPr="00000000">
        <w:rPr>
          <w:i w:val="1"/>
          <w:iCs w:val="1"/>
          <w:rtl w:val="0"/>
        </w:rPr>
        <w:t xml:space="preserve">Úroveň bydlení</w:t>
      </w:r>
      <w:r w:rsidDel="00000000" w:rsidR="00000000" w:rsidRPr="00000000">
        <w:rPr>
          <w:rtl w:val="0"/>
        </w:rPr>
        <w:t xml:space="preserve">, kde Česku patří 23. místo v EU. Průměrný byt dnes stojí 13,6 ročních platů, což představuje třetí nejhorší výsledek v EU. Rostoucí ceny navíc výrazně dopadají na domácí rozpočty – desetina českých domácností vydává na bydlení více než 40 % svých příjmů. Vlastní bydlení se tak pro řadu lidí stává stále méně dostupné, přestože Češi dlouhodobě patří mezi národy, které ho výrazně preferují. </w:t>
      </w:r>
      <w:r w:rsidDel="00000000" w:rsidR="00000000" w:rsidRPr="00000000">
        <w:rPr>
          <w:i w:val="1"/>
          <w:iCs w:val="1"/>
          <w:rtl w:val="0"/>
        </w:rPr>
        <w:t xml:space="preserve">„Podle našeho loňského průzkumu si ve vlastním domě nebo bytě přeje bydlet 92 % české populace,“</w:t>
      </w:r>
      <w:r w:rsidDel="00000000" w:rsidR="00000000" w:rsidRPr="00000000">
        <w:rPr>
          <w:rtl w:val="0"/>
        </w:rPr>
        <w:t xml:space="preserve"> doplňuje Tomáš Odstrčil.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Kombinace vysokých nákladů na bydlení a drahých energií se propisuje do celkového finančního zdraví Čechů. Více než 60 % nízkopříjmových domácností nemá vůbec žádnou finanční rezervu pro případ nečekaných výdajů. </w:t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Digitalizace a vzdělávání jako cesta k vrcholu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Pokud chce Česko v budoucnu konkurovat evropské špičce, musí podle expertů posílit inovace, digitalizaci a školství. V digitalizaci veřejné správy se země meziročně posunula o pět příček na 21. místo a roste také digitální gramotnost obyvatel, nadále ale zaostává v kvalitě digitální infrastruktury. Podle </w:t>
      </w:r>
      <w:hyperlink r:id="rId12">
        <w:r w:rsidDel="00000000" w:rsidR="00000000" w:rsidRPr="00000000">
          <w:rPr>
            <w:color w:val="0563c1"/>
            <w:u w:val="single"/>
            <w:rtl w:val="0"/>
          </w:rPr>
          <w:t xml:space="preserve">Eurostatu</w:t>
        </w:r>
      </w:hyperlink>
      <w:r w:rsidDel="00000000" w:rsidR="00000000" w:rsidRPr="00000000">
        <w:rPr>
          <w:rtl w:val="0"/>
        </w:rPr>
        <w:t xml:space="preserve"> má sice přístup k internetu téměř 95 % českých domácností, v pokrytí vysokorychlostním internetem však Česko patří v EU k nejslabším zemím.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Operátoři zároveň na zrychlování sítí průběžně pracují. Výstavbu vysokorychlostního internetu ale podle expertů z T-Mobile brzdí především administrativa a koordinace mezi jednotlivými investory. </w:t>
      </w:r>
      <w:r w:rsidDel="00000000" w:rsidR="00000000" w:rsidRPr="00000000">
        <w:rPr>
          <w:i w:val="1"/>
          <w:iCs w:val="1"/>
          <w:rtl w:val="0"/>
        </w:rPr>
        <w:t xml:space="preserve">„Každý projekt vyžaduje povolení záměru, které může trvat měsíce až roky. Města zároveň logicky usilují o to, aby ulice a chodníky nebyly rozkopávány opakovaně různými investory v krátkých intervalech, což vyžaduje koordinaci mezi telekomunikačními operátory, energetickými distributory a dalšími investory. Zahájení stavby tak není jen v rukou operátora,“</w:t>
      </w:r>
      <w:r w:rsidDel="00000000" w:rsidR="00000000" w:rsidRPr="00000000">
        <w:rPr>
          <w:rtl w:val="0"/>
        </w:rPr>
        <w:t xml:space="preserve"> doplňuje Zdeněk Bumbálek, ředitel programu výstavby FTTH sítí v T-Mobile.</w:t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Vzdělávání je podfinancované a Češi se často nechtějí dovzdělávat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Specifickou oblastí je vzdělávání, které v Česku podle expertů dlouhodobě doplácí na nižší investice i slabší ochotu části dospělých dále se vzdělávat nebo rekvalifikovat. Výdaje na školství klesly na 4,5 % HDP a bariéry rozvoje se podle analytiků promítají i do širší konkurenceschopnosti ekonomiky. Brzdou zůstává také byrokracie nebo odliv části perspektivních startupů do zahraničí.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„Bariéry růstu v Česku začínají už na úrovni jednotlivce,“</w:t>
      </w:r>
      <w:r w:rsidDel="00000000" w:rsidR="00000000" w:rsidRPr="00000000">
        <w:rPr>
          <w:rtl w:val="0"/>
        </w:rPr>
        <w:t xml:space="preserve"> upozorňuje Tereza Hrtúsová z České spořitelny. </w:t>
      </w:r>
      <w:r w:rsidDel="00000000" w:rsidR="00000000" w:rsidRPr="00000000">
        <w:rPr>
          <w:i w:val="1"/>
          <w:iCs w:val="1"/>
          <w:rtl w:val="0"/>
        </w:rPr>
        <w:t xml:space="preserve">„Naše víra v to, že své schopnosti můžeme ovlivnit a rozvíjet učením, je v porovnání se severskými státy nízká. Naše ekonomika přitom patří mezi nejzdravější a máme na čem stavět. Pokud však tento potenciál chceme proměnit v trvalou prosperitu, musíme změnit myšlení směrem k tomu růstovému, jak na úrovni společenské, tak osobní,“ </w:t>
      </w:r>
      <w:r w:rsidDel="00000000" w:rsidR="00000000" w:rsidRPr="00000000">
        <w:rPr>
          <w:rtl w:val="0"/>
        </w:rPr>
        <w:t xml:space="preserve">uzavírá analytička.</w:t>
      </w:r>
    </w:p>
    <w:p w:rsidR="00000000" w:rsidDel="00000000" w:rsidP="00000000" w:rsidRDefault="00000000" w:rsidRPr="00000000" w14:paraId="00000020">
      <w:pPr>
        <w:jc w:val="both"/>
        <w:rPr>
          <w:b w:val="1"/>
          <w:bCs w:val="1"/>
        </w:rPr>
      </w:pPr>
      <w:hyperlink r:id="rId13">
        <w:r w:rsidDel="00000000" w:rsidR="00000000" w:rsidRPr="00000000">
          <w:rPr>
            <w:b w:val="1"/>
            <w:bCs w:val="1"/>
            <w:color w:val="0563c1"/>
            <w:u w:val="single"/>
            <w:rtl w:val="0"/>
          </w:rPr>
          <w:t xml:space="preserve">Interaktivní infografiku k Pořadí zemí v pilířích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Více o Indexu prosperity a finančního zdraví na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Kontakt pro média:</w:t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Adéla Veselá</w:t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Tel.: +420 722 193 819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sectPr>
      <w:footerReference r:id="rId15" w:type="default"/>
      <w:footerReference r:id="rId16" w:type="first"/>
      <w:footerReference r:id="rId17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2152650</wp:posOffset>
              </wp:positionH>
              <wp:positionV relativeFrom="paragraph">
                <wp:posOffset>-4761</wp:posOffset>
              </wp:positionV>
              <wp:extent cx="1426210" cy="367030"/>
              <wp:effectExtent b="0" l="0" r="0" t="0"/>
              <wp:wrapNone/>
              <wp:docPr descr="C1 - Internal Usage - Pluxee"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637658" y="3601248"/>
                        <a:ext cx="14166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C1 - Internal Usage - Pluxee</w:t>
                          </w:r>
                        </w:p>
                      </w:txbxContent>
                    </wps:txbx>
                    <wps:bodyPr anchorCtr="0" anchor="b" bIns="19050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2152650</wp:posOffset>
              </wp:positionH>
              <wp:positionV relativeFrom="paragraph">
                <wp:posOffset>-4761</wp:posOffset>
              </wp:positionV>
              <wp:extent cx="1426210" cy="367030"/>
              <wp:effectExtent b="0" l="0" r="0" t="0"/>
              <wp:wrapNone/>
              <wp:docPr descr="C1 - Internal Usage - Pluxee" id="2" name="image5.png"/>
              <a:graphic>
                <a:graphicData uri="http://schemas.openxmlformats.org/drawingml/2006/picture">
                  <pic:pic>
                    <pic:nvPicPr>
                      <pic:cNvPr descr="C1 - Internal Usage - Pluxee"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6210" cy="367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-438146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2152650</wp:posOffset>
              </wp:positionH>
              <wp:positionV relativeFrom="paragraph">
                <wp:posOffset>-4761</wp:posOffset>
              </wp:positionV>
              <wp:extent cx="1426210" cy="367030"/>
              <wp:effectExtent b="0" l="0" r="0" t="0"/>
              <wp:wrapNone/>
              <wp:docPr descr="C1 - Internal Usage - Pluxee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37658" y="3601248"/>
                        <a:ext cx="14166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C1 - Internal Usage - Pluxee</w:t>
                          </w:r>
                        </w:p>
                      </w:txbxContent>
                    </wps:txbx>
                    <wps:bodyPr anchorCtr="0" anchor="b" bIns="19050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2152650</wp:posOffset>
              </wp:positionH>
              <wp:positionV relativeFrom="paragraph">
                <wp:posOffset>-4761</wp:posOffset>
              </wp:positionV>
              <wp:extent cx="1426210" cy="367030"/>
              <wp:effectExtent b="0" l="0" r="0" t="0"/>
              <wp:wrapNone/>
              <wp:docPr descr="C1 - Internal Usage - Pluxee" id="1" name="image4.png"/>
              <a:graphic>
                <a:graphicData uri="http://schemas.openxmlformats.org/drawingml/2006/picture">
                  <pic:pic>
                    <pic:nvPicPr>
                      <pic:cNvPr descr="C1 - Internal Usage - Pluxee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6210" cy="367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c.europa.eu/eurostat/databrowser/view/GOV_10A_EXP/bookmark/table?lang=en&amp;bookmarkId=74e19976-d84e-430e-82cf-114de9c6df94" TargetMode="External"/><Relationship Id="rId10" Type="http://schemas.openxmlformats.org/officeDocument/2006/relationships/hyperlink" Target="https://public.tableau.com/views/2025_Indexprosperityeska/Dashboardpoad?:language=en-US&amp;:sid=&amp;:redirect=auth&amp;:display_count=n&amp;:origin=viz_share_link" TargetMode="External"/><Relationship Id="rId13" Type="http://schemas.openxmlformats.org/officeDocument/2006/relationships/hyperlink" Target="https://public.tableau.com/views/2025_Indexprosperityeska/Dashboardzem?:language=en-US&amp;:sid=&amp;:redirect=auth&amp;:display_count=n&amp;:origin=viz_share_link" TargetMode="External"/><Relationship Id="rId12" Type="http://schemas.openxmlformats.org/officeDocument/2006/relationships/hyperlink" Target="https://ec.europa.eu/eurostat/databrowser/view/sdg_17_60__custom_21419415/default/tab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2.xml"/><Relationship Id="rId14" Type="http://schemas.openxmlformats.org/officeDocument/2006/relationships/hyperlink" Target="http://www.indexprosperity.cz/" TargetMode="Externa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public.tableau.com/app/profile/dark.side/viz/2025_Indexprosperityeska/Dashboardmapa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IBy0WBzedryzWtOgKZ5JwScow==">CgMxLjAyDmgubGV1MWx6ZnJscmc0OAByITFkUWJHX1hKUS1oTVV2VmxqUjZPVjZ4MWJMUzNabktxQw==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  <property fmtid="{D5CDD505-2E9C-101B-9397-08002B2CF9AE}" pid="9" name="ClassificationContentMarkingFooterShapeIds">
    <vt:lpwstr>6085a339,3a82796e,15a0b806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C1 - Internal Usage - Pluxee</vt:lpwstr>
  </property>
</Properties>
</file>