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4800" w14:textId="77777777" w:rsidR="00027D26" w:rsidRDefault="00000000">
      <w:pPr>
        <w:spacing w:line="276" w:lineRule="auto"/>
        <w:jc w:val="both"/>
        <w:rPr>
          <w:rFonts w:ascii="Aptos" w:eastAsia="Aptos" w:hAnsi="Aptos" w:cs="Aptos"/>
        </w:rPr>
      </w:pPr>
      <w:bookmarkStart w:id="0" w:name="_heading=h.leu1lzfrlrg4" w:colFirst="0" w:colLast="0"/>
      <w:bookmarkEnd w:id="0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9607561" wp14:editId="5483B5B2">
            <wp:simplePos x="0" y="0"/>
            <wp:positionH relativeFrom="column">
              <wp:posOffset>4448</wp:posOffset>
            </wp:positionH>
            <wp:positionV relativeFrom="paragraph">
              <wp:posOffset>3</wp:posOffset>
            </wp:positionV>
            <wp:extent cx="1616710" cy="377825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377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4FFBB3" w14:textId="77777777" w:rsidR="00027D26" w:rsidRDefault="00027D26">
      <w:pPr>
        <w:spacing w:line="276" w:lineRule="auto"/>
        <w:jc w:val="both"/>
        <w:rPr>
          <w:rFonts w:ascii="Aptos" w:eastAsia="Aptos" w:hAnsi="Aptos" w:cs="Aptos"/>
        </w:rPr>
      </w:pPr>
    </w:p>
    <w:p w14:paraId="7F77B161" w14:textId="77777777" w:rsidR="00027D26" w:rsidRDefault="00000000">
      <w:pPr>
        <w:spacing w:line="276" w:lineRule="auto"/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TISKOVÁ ZPRÁVA</w:t>
      </w:r>
    </w:p>
    <w:p w14:paraId="2DDCCEA6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Index prosperity: Česko se v kvalitě trhu práce propadlo na 18. místo. Mladí ale chtějí růst, vzdělávat se a podnikat</w:t>
      </w:r>
    </w:p>
    <w:p w14:paraId="0AF08C40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Praha, 2</w:t>
      </w:r>
      <w:r w:rsidR="00111A03">
        <w:rPr>
          <w:color w:val="000000"/>
        </w:rPr>
        <w:t>5</w:t>
      </w:r>
      <w:r>
        <w:rPr>
          <w:color w:val="000000"/>
        </w:rPr>
        <w:t xml:space="preserve">. června 2026 – </w:t>
      </w:r>
      <w:r>
        <w:rPr>
          <w:b/>
          <w:bCs/>
          <w:color w:val="000000"/>
        </w:rPr>
        <w:t>Většina Čechů a Češek ve věku 18 až 29 let chce kariérně růst a téměř 6 z 10 mladých láká podnikání. Vyplývá to z aktuálního průzkumu, který pro Českou spořitelnu a portál Evropa v datech realizovala agentura Ipsos v rámci Indexu prosperity a finančního zdraví. Mladí zároveň kladou velký důraz na další vzdělávání. Téměř 80 % z nich považuje za důležité mít v práci možnost se dále rozvíjet a získávat nové dovednosti. Průzkum zároveň ukazuje, že mladí citlivě vnímají i nástup umělé inteligence. 59 % z nich se obává, že AI ztíží absolventům vstup na trh práce, a 47 % považuje za prioritu, aby se české školství v době AI více zaměřilo na kritické myšlení a mediální gramotnost.</w:t>
      </w:r>
    </w:p>
    <w:p w14:paraId="494133D7" w14:textId="5764945A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Výsledky průzkumu doplňuje letošní </w:t>
      </w:r>
      <w:hyperlink r:id="rId8" w:history="1">
        <w:r w:rsidR="00D10086" w:rsidRPr="00D10086">
          <w:rPr>
            <w:rStyle w:val="Hypertextovprepojenie"/>
          </w:rPr>
          <w:t xml:space="preserve">Index </w:t>
        </w:r>
        <w:r w:rsidR="00D10086" w:rsidRPr="00D10086">
          <w:rPr>
            <w:rStyle w:val="Hypertextovprepojenie"/>
          </w:rPr>
          <w:t>p</w:t>
        </w:r>
        <w:r w:rsidR="00D10086" w:rsidRPr="00D10086">
          <w:rPr>
            <w:rStyle w:val="Hypertextovprepojenie"/>
          </w:rPr>
          <w:t>rosperity</w:t>
        </w:r>
      </w:hyperlink>
      <w:r w:rsidR="00D10086">
        <w:rPr>
          <w:color w:val="000000"/>
        </w:rPr>
        <w:t xml:space="preserve"> v</w:t>
      </w:r>
      <w:r>
        <w:rPr>
          <w:color w:val="000000"/>
        </w:rPr>
        <w:t xml:space="preserve"> pilíři Trh práce. V unijním srovnání se Česko v kvalitě trhu práce propadlo z 15. na 18. místo. Jedním z hlavních problémů zůstává produktivita, kde Česku patří 17. příčka. </w:t>
      </w:r>
      <w:r>
        <w:rPr>
          <w:i/>
          <w:iCs/>
          <w:color w:val="000000"/>
        </w:rPr>
        <w:t>„Čeští zaměstnanci pracují více hodin než lidé zaměstnaní v bohatších evropských zemích, jako je Dánsko nebo Nizozemsko. Tyto země ukazují, že klíčem k úspěchu není se přepracovat, ale investovat do přidané hodnoty ekonomiky. Dokud budeme mít 3. nejni</w:t>
      </w:r>
      <w:r w:rsidR="00111A03">
        <w:rPr>
          <w:i/>
          <w:iCs/>
          <w:color w:val="000000"/>
        </w:rPr>
        <w:t>ž</w:t>
      </w:r>
      <w:r>
        <w:rPr>
          <w:i/>
          <w:iCs/>
          <w:color w:val="000000"/>
        </w:rPr>
        <w:t>ší podíl vysokoškolsky vzdělané produktivní populace v EU a nebudeme více investovat do vlastních inovací, zůstaneme zemí levné práce,“</w:t>
      </w:r>
      <w:r>
        <w:rPr>
          <w:color w:val="000000"/>
        </w:rPr>
        <w:t xml:space="preserve"> vysvětluje analytik Evropy v datech Adam Trunečka.</w:t>
      </w:r>
    </w:p>
    <w:p w14:paraId="656E889C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t>V žebříčku</w:t>
      </w:r>
      <w:r>
        <w:rPr>
          <w:color w:val="000000"/>
        </w:rPr>
        <w:t xml:space="preserve"> naopak vede Nizozemsko, které má nejvyšší flexibilitu práce, nejkratší průměrnou pracovní dobu a zároveň 5. nejvyšší produktivitu práce v EU. Kontrast s Nizozemskem ukazuje, že budoucnost českého trhu práce nebude stát jen na počtu odpracovaných hodin. Důležitější bude schopnost vytvářet vyšší přidanou hodnotu, lépe využívat vzdělání a rozvíjet dovednosti, které bude ekonomika v dalších letech potřebovat.</w:t>
      </w:r>
    </w:p>
    <w:p w14:paraId="5C7BA9C7" w14:textId="77777777" w:rsidR="00027D26" w:rsidRDefault="00027D26">
      <w:pPr>
        <w:jc w:val="both"/>
      </w:pPr>
      <w:hyperlink r:id="rId9">
        <w:r>
          <w:rPr>
            <w:color w:val="0563C1"/>
            <w:u w:val="single"/>
          </w:rPr>
          <w:t>Interaktivní infografiku ke Kvalitě trhu práce naleznete na tomto odkazu</w:t>
        </w:r>
      </w:hyperlink>
      <w:r w:rsidR="00000000">
        <w:t xml:space="preserve">. </w:t>
      </w:r>
    </w:p>
    <w:p w14:paraId="0F2D20B8" w14:textId="77777777" w:rsidR="00027D26" w:rsidRDefault="00000000">
      <w:pPr>
        <w:jc w:val="center"/>
      </w:pPr>
      <w:r>
        <w:rPr>
          <w:noProof/>
        </w:rPr>
        <w:drawing>
          <wp:inline distT="0" distB="0" distL="0" distR="0" wp14:anchorId="5BDE54FD" wp14:editId="7B6F5A41">
            <wp:extent cx="6016974" cy="3051030"/>
            <wp:effectExtent l="0" t="0" r="0" b="0"/>
            <wp:docPr id="3" name="image3.png" descr="Obsah obrázku text, mapa, snímek obrazovky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Obsah obrázku text, mapa, snímek obrazovky&#10;&#10;Popis byl vytvořen automaticky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6974" cy="3051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4CFC1F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Mladí chtějí růst a vzdělávat se. Škola jim ale podle nich často nestačí</w:t>
      </w:r>
    </w:p>
    <w:p w14:paraId="117123D5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Možnost kariérního růstu je pro mladé při výběru zaměstnání zásadní. Za důležitou ji v průzkumu označilo 81 % lidí ve</w:t>
      </w:r>
      <w:r w:rsidR="00111A03">
        <w:rPr>
          <w:color w:val="000000"/>
        </w:rPr>
        <w:t> </w:t>
      </w:r>
      <w:r>
        <w:rPr>
          <w:color w:val="000000"/>
        </w:rPr>
        <w:t xml:space="preserve">věku 18 až 29 let, zatímco v obecné populaci ji označilo jen 72 %. Téměř 80 % mladých zároveň chce mít možnost se při práci dále vzdělávat. Právě další vzdělávání a rychlejší doplňování dovedností může být důležité i pro posun české ekonomiky k vyšší přidané hodnotě. </w:t>
      </w:r>
    </w:p>
    <w:p w14:paraId="3C784B71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Zároveň ale mladí často nevnímají školu jako dostatečnou přípravu na pracovní trh. Pouze necelých 5 % z nich si myslí, že je </w:t>
      </w:r>
      <w:r>
        <w:t>školství plnohodnotně</w:t>
      </w:r>
      <w:r>
        <w:rPr>
          <w:color w:val="000000"/>
        </w:rPr>
        <w:t xml:space="preserve"> připravil</w:t>
      </w:r>
      <w:r>
        <w:t xml:space="preserve">o </w:t>
      </w:r>
      <w:r>
        <w:rPr>
          <w:color w:val="000000"/>
        </w:rPr>
        <w:t>na praxi. Dalších 27 % oceňuje alespoň teoretický základ, praxi si ale podle svých slov museli získat sami. Většina mladých tak má pocit, že je škola na pracovní trh nepřipravila dostatečně.</w:t>
      </w:r>
    </w:p>
    <w:p w14:paraId="6DF2F634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Podle rektora </w:t>
      </w:r>
      <w:proofErr w:type="spellStart"/>
      <w:r>
        <w:rPr>
          <w:color w:val="000000"/>
        </w:rPr>
        <w:t>Unicorn</w:t>
      </w:r>
      <w:proofErr w:type="spellEnd"/>
      <w:r>
        <w:rPr>
          <w:color w:val="000000"/>
        </w:rPr>
        <w:t xml:space="preserve"> Vysoké školy prof. Jana Čadila praxe často vyžaduje dovednosti, které vznikají rychleji, než je možné je promítnout do vysokoškolských studijních programů. Jedním z řešení jsou podle něj tzv. </w:t>
      </w:r>
      <w:proofErr w:type="spellStart"/>
      <w:r>
        <w:rPr>
          <w:color w:val="000000"/>
        </w:rPr>
        <w:t>mikrocertifikáty</w:t>
      </w:r>
      <w:proofErr w:type="spellEnd"/>
      <w:r>
        <w:rPr>
          <w:color w:val="000000"/>
        </w:rPr>
        <w:t xml:space="preserve">, které umožňují reagovat na nové technologie, legislativní změny nebo aktuální potřeby firem téměř okamžitě. </w:t>
      </w:r>
      <w:r>
        <w:rPr>
          <w:i/>
          <w:iCs/>
          <w:color w:val="000000"/>
        </w:rPr>
        <w:t xml:space="preserve">„Díky tomu pomáhají propojit akademické vzdělání s konkrétními požadavky pracovního trhu a usnadňují mladým lidem přechod ze školy do praxe,“ </w:t>
      </w:r>
      <w:r>
        <w:rPr>
          <w:color w:val="000000"/>
        </w:rPr>
        <w:t>vysvětluje Čadil.</w:t>
      </w:r>
    </w:p>
    <w:p w14:paraId="1CDC2606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Přechod na pracovní trh mladým komplikují i požadavky zaměstnavatelů. S požadavky na praxi i při nástupu na juniorní pozici se potýká 43 % mladých. Nízkou nástupní mzdu, která podle nich neodpovídá nákladům na život, zmiňuje 55 % lidí ve věku 18 až 29 let. Nejcitelněji tuto skutečnost ale vnímá věková kategorie 30 až 49 let. Za jednu z nejvýznamnějších překážek při hledání dobré práce v Česku označilo nízkou nástupní mzdu 61 % z nich.</w:t>
      </w:r>
    </w:p>
    <w:p w14:paraId="44AB74D8" w14:textId="77777777" w:rsidR="00027D26" w:rsidRDefault="00027D26">
      <w:pPr>
        <w:jc w:val="both"/>
      </w:pPr>
      <w:hyperlink r:id="rId11">
        <w:r>
          <w:rPr>
            <w:color w:val="0563C1"/>
            <w:u w:val="single"/>
          </w:rPr>
          <w:t>Interaktivní infografiku k nástupu na pracovní trh naleznete na tomto odkazu</w:t>
        </w:r>
      </w:hyperlink>
      <w:r w:rsidR="00000000">
        <w:t>.</w:t>
      </w:r>
    </w:p>
    <w:p w14:paraId="00AE52F2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Mladé láká podnikání, brzdí je hlavně finance a nejistota</w:t>
      </w:r>
    </w:p>
    <w:p w14:paraId="3AB0C48A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Mladí zároveň častěji než zbytek populace přemýšlejí o podnikání. Myšlenka založit živnost nebo firmu láká 44 % lidí ve věku 18 až 29 let, dalších 15 % o podnikání aktivně uvažuje a plánuje ho. Dohromady tedy podnikání připouští téměř 60 % mladých. V obecné populaci je to méně než polovina lidí. V podnikání mladé nejčastěji brzdí nedostatek financí, který uvádí 51 % z nich, a také strach z neúspěchu a finanční nejistoty, kterého se obává 43 %.</w:t>
      </w:r>
    </w:p>
    <w:p w14:paraId="2A70A592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Slabým místem pracovního trhu zůstává postavení žen a flexibilita</w:t>
      </w:r>
    </w:p>
    <w:p w14:paraId="3E8CA343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Ačkoliv jsou finanční benefity pro mladé nejatraktivnějším pracovním benefitem, ve srovnání se zbytkem populace jim přikládají menší váhu. Za nejlákavější je označuje 32 % mladých, zatímco v celkové populaci je to 44 %. Mladé naopak častěji láká větší volnost v organizaci práce a času. Mezi nejatraktivnější benefity proto řadí například neomezené placené volno nebo čtyřdenní pracovní týden za plnou mzdu, který jako nejlákavější označilo 20 % lidí ve věku 18 až 29 let.</w:t>
      </w:r>
    </w:p>
    <w:p w14:paraId="34601749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Právě důraz na větší flexibilitu ale naráží na realitu českého pracovního trhu. Alespoň částečnou flexibilitu má v práci jen 22 % populace. U mladé generace je situace ještě horší, flexibilitu uvádí pouze 15 % lidí ve věku 18 až 29 let. Nízká dostupnost flexibility souvisí i s dalším dlouhodobým problémem českého pracovního trhu, kterým je postavení žen. V</w:t>
      </w:r>
      <w:r w:rsidR="00111A03">
        <w:rPr>
          <w:color w:val="000000"/>
        </w:rPr>
        <w:t> </w:t>
      </w:r>
      <w:r>
        <w:rPr>
          <w:color w:val="000000"/>
        </w:rPr>
        <w:t xml:space="preserve">pilíři práce </w:t>
      </w:r>
      <w:hyperlink r:id="rId12">
        <w:r w:rsidR="00027D26">
          <w:rPr>
            <w:color w:val="0563C1"/>
            <w:u w:val="single"/>
          </w:rPr>
          <w:t xml:space="preserve">Gender </w:t>
        </w:r>
        <w:proofErr w:type="spellStart"/>
        <w:r w:rsidR="00027D26">
          <w:rPr>
            <w:color w:val="0563C1"/>
            <w:u w:val="single"/>
          </w:rPr>
          <w:t>Equality</w:t>
        </w:r>
        <w:proofErr w:type="spellEnd"/>
        <w:r w:rsidR="00027D26">
          <w:rPr>
            <w:color w:val="0563C1"/>
            <w:u w:val="single"/>
          </w:rPr>
          <w:t xml:space="preserve"> Indexu</w:t>
        </w:r>
      </w:hyperlink>
      <w:r>
        <w:rPr>
          <w:color w:val="000000"/>
        </w:rPr>
        <w:t xml:space="preserve"> skončilo Česko na druhé nejnižší pozici v EU. Zatímco v roce 2010 bylo české skóre blízko evropskému průměru, za posledních 15 let se zhoršilo. Evropský průměr se naopak zvýšil.</w:t>
      </w:r>
    </w:p>
    <w:p w14:paraId="656A0C1B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Výrazně se to promítá i do odměňování. Česko má druhý nejvyšší gender </w:t>
      </w:r>
      <w:proofErr w:type="spellStart"/>
      <w:r>
        <w:rPr>
          <w:color w:val="000000"/>
        </w:rPr>
        <w:t>pay</w:t>
      </w:r>
      <w:proofErr w:type="spellEnd"/>
      <w:r>
        <w:rPr>
          <w:color w:val="000000"/>
        </w:rPr>
        <w:t xml:space="preserve"> gap v EU, konkrétně téměř 19 % v</w:t>
      </w:r>
      <w:r w:rsidR="00111A03">
        <w:rPr>
          <w:color w:val="000000"/>
        </w:rPr>
        <w:t> </w:t>
      </w:r>
      <w:r>
        <w:rPr>
          <w:color w:val="000000"/>
        </w:rPr>
        <w:t xml:space="preserve">neprospěch žen. Podle spoluzakladatele </w:t>
      </w:r>
      <w:proofErr w:type="spellStart"/>
      <w:r>
        <w:rPr>
          <w:color w:val="000000"/>
        </w:rPr>
        <w:t>Pay</w:t>
      </w:r>
      <w:proofErr w:type="spellEnd"/>
      <w:r>
        <w:rPr>
          <w:color w:val="000000"/>
        </w:rPr>
        <w:t xml:space="preserve">-Fair Pavla Vrtišky je rozdíl v odměňování mužů a žen na srovnatelných pozicích nižší než 5 %. </w:t>
      </w:r>
      <w:r>
        <w:rPr>
          <w:i/>
          <w:iCs/>
          <w:color w:val="000000"/>
        </w:rPr>
        <w:t>„Muži jsou častěji zastoupeni ve vrcholových pozicích a také v technických či IT rolích, což zvedá jejich celkový průměr nahoru,“</w:t>
      </w:r>
      <w:r>
        <w:rPr>
          <w:color w:val="000000"/>
        </w:rPr>
        <w:t xml:space="preserve"> vysvětluje a doplňuje, že vliv má také delší přerušení kariéry kvůli rodičovství.</w:t>
      </w:r>
    </w:p>
    <w:p w14:paraId="305F57AE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Podle analytičky České spořitelny Terezy </w:t>
      </w:r>
      <w:proofErr w:type="spellStart"/>
      <w:r>
        <w:rPr>
          <w:color w:val="000000"/>
        </w:rPr>
        <w:t>Hrtúsové</w:t>
      </w:r>
      <w:proofErr w:type="spellEnd"/>
      <w:r>
        <w:rPr>
          <w:color w:val="000000"/>
        </w:rPr>
        <w:t xml:space="preserve"> ke genderové nerovnosti na trhu práce přispívá i nízký podíl zkrácených úvazků. </w:t>
      </w:r>
      <w:r>
        <w:rPr>
          <w:i/>
          <w:iCs/>
          <w:color w:val="000000"/>
        </w:rPr>
        <w:t>„V zemích západní a severní Evropy je výrazně vyšší. V EU pracuje na zkrácený úvazek téměř 28 % žen, zatímco v Česku je to jen přibližně 15 % – a v zemích jako Nizozemsko přesahuje tento podíl 60 %. Investice do</w:t>
      </w:r>
      <w:r w:rsidR="00111A03">
        <w:rPr>
          <w:i/>
          <w:iCs/>
          <w:color w:val="000000"/>
        </w:rPr>
        <w:t> </w:t>
      </w:r>
      <w:r>
        <w:rPr>
          <w:i/>
          <w:iCs/>
          <w:color w:val="000000"/>
        </w:rPr>
        <w:t xml:space="preserve">flexibilních forem práce jsou zároveň investicí do české produktivity a konkurenceschopnosti,” </w:t>
      </w:r>
      <w:r>
        <w:rPr>
          <w:color w:val="000000"/>
        </w:rPr>
        <w:t xml:space="preserve">doplňuje </w:t>
      </w:r>
      <w:proofErr w:type="spellStart"/>
      <w:r>
        <w:rPr>
          <w:color w:val="000000"/>
        </w:rPr>
        <w:t>Hrtúsová</w:t>
      </w:r>
      <w:proofErr w:type="spellEnd"/>
      <w:r>
        <w:rPr>
          <w:color w:val="000000"/>
        </w:rPr>
        <w:t>.</w:t>
      </w:r>
    </w:p>
    <w:p w14:paraId="54B368F4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Používání AI nestačí. Rozhodovat bude schopnost kriticky myslet</w:t>
      </w:r>
    </w:p>
    <w:p w14:paraId="01CE4212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Důležitým tématem pracovního trhu je také nástup umělé inteligence. Více než polovina Čechů se obává, že AI ztíží absolventům vstup na trh práce, protože zvládne začátečnickou práci za ně. V celkové populaci tuto obavu sdílí 52 % lidí, ve věkové kategorii 18 až 29 let je to 59 %.</w:t>
      </w:r>
    </w:p>
    <w:p w14:paraId="60C94F74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Mladí zaměstnanci zároveň používají AI častěji než starší generace. Pravidelně ji k usnadnění práce využívá 17 % lidí ve</w:t>
      </w:r>
      <w:r w:rsidR="00111A03">
        <w:rPr>
          <w:color w:val="000000"/>
        </w:rPr>
        <w:t> </w:t>
      </w:r>
      <w:r>
        <w:rPr>
          <w:color w:val="000000"/>
        </w:rPr>
        <w:t xml:space="preserve">věku 18 až 29 let, oproti 9 % lidí ve věku 50 až 65 let. Podle ředitele České asociace umělé inteligence Lukáše </w:t>
      </w:r>
      <w:proofErr w:type="spellStart"/>
      <w:r>
        <w:rPr>
          <w:color w:val="000000"/>
        </w:rPr>
        <w:t>Benzla</w:t>
      </w:r>
      <w:proofErr w:type="spellEnd"/>
      <w:r>
        <w:rPr>
          <w:color w:val="000000"/>
        </w:rPr>
        <w:t xml:space="preserve"> ale samotná znalost AI nebude do budoucna stačit. </w:t>
      </w:r>
      <w:r>
        <w:rPr>
          <w:i/>
          <w:iCs/>
          <w:color w:val="000000"/>
        </w:rPr>
        <w:t>„Umělá inteligence nebude speciální dovedností, ale základní součástí téměř každé kancelářské profese. Skutečnou konkurenční výhodou bude schopnost propojit ji s řešením konkrétních problémů firmy,“</w:t>
      </w:r>
      <w:r>
        <w:rPr>
          <w:color w:val="000000"/>
        </w:rPr>
        <w:t xml:space="preserve"> vysvětluje </w:t>
      </w:r>
      <w:proofErr w:type="spellStart"/>
      <w:r>
        <w:rPr>
          <w:color w:val="000000"/>
        </w:rPr>
        <w:t>Benzl</w:t>
      </w:r>
      <w:proofErr w:type="spellEnd"/>
      <w:r>
        <w:rPr>
          <w:color w:val="000000"/>
        </w:rPr>
        <w:t>.</w:t>
      </w:r>
    </w:p>
    <w:p w14:paraId="25FA07B6" w14:textId="77777777" w:rsidR="00027D2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lastRenderedPageBreak/>
        <w:t>Tomu odpovídají i postoje mladých ke vzdělávání. Téměř polovina z nich (47 %) považuje za prioritu, aby se české školství v době AI více zaměřilo na kritické myšlení a mediální gramotnost. Podíl je dokonce o něco vyšší než u výuky samotných dovedností souvisejících s AI (46 %).</w:t>
      </w:r>
    </w:p>
    <w:p w14:paraId="0406912F" w14:textId="77777777" w:rsidR="00027D26" w:rsidRDefault="00027D26">
      <w:pPr>
        <w:jc w:val="both"/>
      </w:pPr>
      <w:hyperlink r:id="rId13">
        <w:r>
          <w:rPr>
            <w:color w:val="0563C1"/>
            <w:u w:val="single"/>
          </w:rPr>
          <w:t>Interaktivní infografiku k Trhu práce v éře AI naleznete na tomto odkazu</w:t>
        </w:r>
      </w:hyperlink>
      <w:r w:rsidR="00000000">
        <w:rPr>
          <w:color w:val="FF0000"/>
        </w:rPr>
        <w:t>.</w:t>
      </w:r>
    </w:p>
    <w:p w14:paraId="0AFC772B" w14:textId="77777777" w:rsidR="00027D26" w:rsidRDefault="00027D26">
      <w:pPr>
        <w:spacing w:line="276" w:lineRule="auto"/>
        <w:jc w:val="both"/>
        <w:rPr>
          <w:rFonts w:ascii="Aptos" w:eastAsia="Aptos" w:hAnsi="Aptos" w:cs="Aptos"/>
        </w:rPr>
      </w:pPr>
    </w:p>
    <w:p w14:paraId="12745DDA" w14:textId="77777777" w:rsidR="00027D26" w:rsidRDefault="0000000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Více o Indexu prosperity a finančního zdraví na </w:t>
      </w:r>
      <w:hyperlink r:id="rId14">
        <w:r w:rsidR="00027D26">
          <w:rPr>
            <w:rFonts w:ascii="Aptos" w:eastAsia="Aptos" w:hAnsi="Aptos" w:cs="Aptos"/>
            <w:color w:val="1155CC"/>
            <w:u w:val="single"/>
          </w:rPr>
          <w:t>Indexprosperity.cz</w:t>
        </w:r>
      </w:hyperlink>
      <w:r>
        <w:rPr>
          <w:rFonts w:ascii="Aptos" w:eastAsia="Aptos" w:hAnsi="Aptos" w:cs="Aptos"/>
        </w:rPr>
        <w:t>.</w:t>
      </w:r>
    </w:p>
    <w:p w14:paraId="154134A3" w14:textId="77777777" w:rsidR="00027D26" w:rsidRDefault="00000000">
      <w:pPr>
        <w:spacing w:after="0" w:line="276" w:lineRule="auto"/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Kontakt pro média:</w:t>
      </w:r>
    </w:p>
    <w:p w14:paraId="018D0CC9" w14:textId="77777777" w:rsidR="00027D26" w:rsidRDefault="00000000">
      <w:pPr>
        <w:spacing w:after="0"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Adéla Veselá</w:t>
      </w:r>
    </w:p>
    <w:p w14:paraId="1B303E02" w14:textId="77777777" w:rsidR="00027D26" w:rsidRDefault="00000000">
      <w:pPr>
        <w:spacing w:after="0"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  <w:color w:val="0563C1"/>
          <w:u w:val="single"/>
        </w:rPr>
        <w:t>adela.vesela@dfmg.cz</w:t>
      </w:r>
    </w:p>
    <w:p w14:paraId="24C7950B" w14:textId="77777777" w:rsidR="00027D26" w:rsidRDefault="00000000">
      <w:pPr>
        <w:spacing w:after="0"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Tel.: +420 722 193 819</w:t>
      </w:r>
    </w:p>
    <w:p w14:paraId="17AD7C76" w14:textId="77777777" w:rsidR="00027D26" w:rsidRDefault="00027D26">
      <w:pPr>
        <w:spacing w:after="0" w:line="276" w:lineRule="auto"/>
        <w:jc w:val="both"/>
        <w:rPr>
          <w:rFonts w:ascii="Aptos" w:eastAsia="Aptos" w:hAnsi="Aptos" w:cs="Aptos"/>
        </w:rPr>
      </w:pPr>
    </w:p>
    <w:p w14:paraId="758C7233" w14:textId="77777777" w:rsidR="00027D26" w:rsidRDefault="00027D26">
      <w:pPr>
        <w:spacing w:after="0" w:line="276" w:lineRule="auto"/>
        <w:jc w:val="both"/>
        <w:rPr>
          <w:rFonts w:ascii="Aptos" w:eastAsia="Aptos" w:hAnsi="Aptos" w:cs="Aptos"/>
        </w:rPr>
      </w:pPr>
    </w:p>
    <w:p w14:paraId="280600FB" w14:textId="77777777" w:rsidR="00027D26" w:rsidRDefault="00027D26">
      <w:pPr>
        <w:spacing w:after="0" w:line="276" w:lineRule="auto"/>
        <w:jc w:val="both"/>
        <w:rPr>
          <w:rFonts w:ascii="Aptos" w:eastAsia="Aptos" w:hAnsi="Aptos" w:cs="Aptos"/>
        </w:rPr>
      </w:pPr>
    </w:p>
    <w:sectPr w:rsidR="00027D26">
      <w:footerReference w:type="default" r:id="rId15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2D56F" w14:textId="77777777" w:rsidR="00BA2628" w:rsidRDefault="00BA2628">
      <w:pPr>
        <w:spacing w:after="0" w:line="240" w:lineRule="auto"/>
      </w:pPr>
      <w:r>
        <w:separator/>
      </w:r>
    </w:p>
  </w:endnote>
  <w:endnote w:type="continuationSeparator" w:id="0">
    <w:p w14:paraId="00F8C220" w14:textId="77777777" w:rsidR="00BA2628" w:rsidRDefault="00BA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C92ED68-C808-42BB-A59E-A698848AC261}"/>
    <w:embedBold r:id="rId2" w:fontKey="{81CC0B0E-EBE4-46CC-8280-D22143BD382E}"/>
    <w:embedItalic r:id="rId3" w:fontKey="{0F390A85-6633-444E-938D-C893A93F89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702A31B5-2ED1-4E78-A6FD-5036360525B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11683022-2C93-4668-B99B-5A7786898800}"/>
    <w:embedBold r:id="rId6" w:fontKey="{C4A4ACE2-CB8E-413C-9B15-C16FD4C76FD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B5524217-8283-4CF1-BE31-0E1322D74D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2348" w14:textId="77777777" w:rsidR="00027D26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65237F0E" wp14:editId="1DCE1AA6">
          <wp:simplePos x="0" y="0"/>
          <wp:positionH relativeFrom="column">
            <wp:posOffset>-438146</wp:posOffset>
          </wp:positionH>
          <wp:positionV relativeFrom="paragraph">
            <wp:posOffset>514984</wp:posOffset>
          </wp:positionV>
          <wp:extent cx="7509510" cy="132080"/>
          <wp:effectExtent l="0" t="0" r="0" b="0"/>
          <wp:wrapTopAndBottom distT="0" dist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0094" r="19202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C8F41" w14:textId="77777777" w:rsidR="00BA2628" w:rsidRDefault="00BA2628">
      <w:pPr>
        <w:spacing w:after="0" w:line="240" w:lineRule="auto"/>
      </w:pPr>
      <w:r>
        <w:separator/>
      </w:r>
    </w:p>
  </w:footnote>
  <w:footnote w:type="continuationSeparator" w:id="0">
    <w:p w14:paraId="5F8A4F7D" w14:textId="77777777" w:rsidR="00BA2628" w:rsidRDefault="00BA2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D26"/>
    <w:rsid w:val="00027D26"/>
    <w:rsid w:val="00111A03"/>
    <w:rsid w:val="002637D6"/>
    <w:rsid w:val="00BA2628"/>
    <w:rsid w:val="00D10086"/>
    <w:rsid w:val="00D93199"/>
    <w:rsid w:val="00F2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CC12"/>
  <w15:docId w15:val="{6C362ADE-52FD-4EE7-89D3-364740E2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11A0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1A0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00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xprosperity.cz/2026/kvalita-trhu-prace-4/" TargetMode="External"/><Relationship Id="rId13" Type="http://schemas.openxmlformats.org/officeDocument/2006/relationships/hyperlink" Target="https://public.tableau.com/app/profile/dark.side/viz/IFZ_2026_04_Trhprce/Umlinteligence?publish=y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eige.europa.eu/gender-equality-index/2025/CZ/wor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ublic.tableau.com/app/profile/dark.side/viz/IFZ_2026_04_Trhprce/Ppravaabenefity?publish=ye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ublic.tableau.com/app/profile/dark.side/viz/EvD_2026_Indexprosperity_4_Trhprce/Dashboard_mapa?publish=yes" TargetMode="External"/><Relationship Id="rId14" Type="http://schemas.openxmlformats.org/officeDocument/2006/relationships/hyperlink" Target="http://www.indexprosperity.cz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OosNsI6dDuRlMfP0plK1AKwBg==">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1236</Words>
  <Characters>7047</Characters>
  <Application>Microsoft Office Word</Application>
  <DocSecurity>0</DocSecurity>
  <Lines>58</Lines>
  <Paragraphs>16</Paragraphs>
  <ScaleCrop>false</ScaleCrop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Karolínka</dc:creator>
  <cp:lastModifiedBy>Karolína Lettrichová</cp:lastModifiedBy>
  <cp:revision>3</cp:revision>
  <dcterms:created xsi:type="dcterms:W3CDTF">2026-06-25T06:19:00Z</dcterms:created>
  <dcterms:modified xsi:type="dcterms:W3CDTF">2026-06-25T06:36:00Z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etDate">
    <vt:lpwstr>2022-06-13T07:50:24Z</vt:lpwstr>
  </property>
  <property fmtid="{D5CDD505-2E9C-101B-9397-08002B2CF9AE}" pid="4" name="MSIP_Label_2b3a104e-2916-42dc-a2f6-6210338509ed_Method">
    <vt:lpwstr>Standard</vt:lpwstr>
  </property>
  <property fmtid="{D5CDD505-2E9C-101B-9397-08002B2CF9AE}" pid="5" name="MSIP_Label_2b3a104e-2916-42dc-a2f6-6210338509ed_Name">
    <vt:lpwstr>2b3a104e-2916-42dc-a2f6-6210338509ed</vt:lpwstr>
  </property>
  <property fmtid="{D5CDD505-2E9C-101B-9397-08002B2CF9AE}" pid="6" name="MSIP_Label_2b3a104e-2916-42dc-a2f6-6210338509ed_SiteId">
    <vt:lpwstr>e70aafb3-2e89-46a5-ba50-66803e8a4411</vt:lpwstr>
  </property>
  <property fmtid="{D5CDD505-2E9C-101B-9397-08002B2CF9AE}" pid="7" name="MSIP_Label_2b3a104e-2916-42dc-a2f6-6210338509ed_ActionId">
    <vt:lpwstr>87e722f6-8a85-4d74-9307-d8e67f666506</vt:lpwstr>
  </property>
  <property fmtid="{D5CDD505-2E9C-101B-9397-08002B2CF9AE}" pid="8" name="MSIP_Label_2b3a104e-2916-42dc-a2f6-6210338509ed_ContentBits">
    <vt:lpwstr>1</vt:lpwstr>
  </property>
</Properties>
</file>